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21" w:rsidRPr="00617F15" w:rsidRDefault="00B53C21" w:rsidP="00B53C21">
      <w:pPr>
        <w:pStyle w:val="Default"/>
        <w:ind w:left="720" w:hanging="720"/>
        <w:jc w:val="center"/>
        <w:rPr>
          <w:b/>
          <w:sz w:val="52"/>
          <w:szCs w:val="52"/>
        </w:rPr>
      </w:pPr>
      <w:r>
        <w:rPr>
          <w:b/>
          <w:sz w:val="52"/>
          <w:szCs w:val="52"/>
        </w:rPr>
        <w:t xml:space="preserve">TDC Part </w:t>
      </w:r>
      <w:r w:rsidRPr="00617F15">
        <w:rPr>
          <w:b/>
          <w:sz w:val="52"/>
          <w:szCs w:val="52"/>
        </w:rPr>
        <w:t>I</w:t>
      </w:r>
      <w:r>
        <w:rPr>
          <w:b/>
          <w:sz w:val="52"/>
          <w:szCs w:val="52"/>
        </w:rPr>
        <w:t>I</w:t>
      </w:r>
    </w:p>
    <w:p w:rsidR="00B53C21" w:rsidRDefault="00B53C21" w:rsidP="00B53C21">
      <w:pPr>
        <w:pStyle w:val="Default"/>
        <w:jc w:val="center"/>
        <w:rPr>
          <w:b/>
          <w:sz w:val="52"/>
          <w:szCs w:val="52"/>
        </w:rPr>
      </w:pPr>
      <w:r>
        <w:rPr>
          <w:b/>
          <w:sz w:val="52"/>
          <w:szCs w:val="52"/>
        </w:rPr>
        <w:t>Paper I, Group B</w:t>
      </w:r>
    </w:p>
    <w:p w:rsidR="00B53C21" w:rsidRPr="00617F15" w:rsidRDefault="00B53C21" w:rsidP="00B53C21">
      <w:pPr>
        <w:pStyle w:val="Default"/>
        <w:jc w:val="center"/>
        <w:rPr>
          <w:b/>
          <w:sz w:val="52"/>
          <w:szCs w:val="52"/>
        </w:rPr>
      </w:pPr>
      <w:r>
        <w:rPr>
          <w:b/>
          <w:sz w:val="52"/>
          <w:szCs w:val="52"/>
        </w:rPr>
        <w:t>Inorganic</w:t>
      </w:r>
      <w:r w:rsidRPr="00617F15">
        <w:rPr>
          <w:b/>
          <w:sz w:val="52"/>
          <w:szCs w:val="52"/>
        </w:rPr>
        <w:t xml:space="preserve"> Chemistry</w:t>
      </w:r>
    </w:p>
    <w:p w:rsidR="00B53C21" w:rsidRDefault="00B53C21" w:rsidP="00B53C21">
      <w:pPr>
        <w:pStyle w:val="Default"/>
        <w:rPr>
          <w:rFonts w:ascii="Arial Black" w:hAnsi="Arial Black"/>
        </w:rPr>
      </w:pPr>
    </w:p>
    <w:p w:rsidR="00B53C21" w:rsidRDefault="00B53C21" w:rsidP="00B53C21">
      <w:pPr>
        <w:pStyle w:val="Default"/>
        <w:jc w:val="center"/>
        <w:rPr>
          <w:rFonts w:ascii="Arial Black" w:hAnsi="Arial Black"/>
        </w:rPr>
      </w:pP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B53C21" w:rsidRDefault="00B53C21" w:rsidP="00B53C21">
      <w:pPr>
        <w:pStyle w:val="Default"/>
        <w:rPr>
          <w:rFonts w:ascii="Arial Black" w:hAnsi="Arial Black"/>
        </w:rPr>
      </w:pPr>
    </w:p>
    <w:p w:rsidR="00B53C21" w:rsidRPr="00617F15" w:rsidRDefault="00B53C21" w:rsidP="00B53C21">
      <w:pPr>
        <w:pStyle w:val="Default"/>
        <w:spacing w:after="120"/>
        <w:jc w:val="center"/>
        <w:rPr>
          <w:sz w:val="52"/>
          <w:szCs w:val="52"/>
        </w:rPr>
      </w:pPr>
      <w:r w:rsidRPr="00617F15">
        <w:rPr>
          <w:b/>
          <w:bCs/>
          <w:sz w:val="52"/>
          <w:szCs w:val="52"/>
        </w:rPr>
        <w:t>Department of Chemistry</w:t>
      </w:r>
    </w:p>
    <w:p w:rsidR="00B53C21" w:rsidRPr="00157F46" w:rsidRDefault="00B53C21" w:rsidP="00B53C21">
      <w:pPr>
        <w:pStyle w:val="Default"/>
        <w:rPr>
          <w:rFonts w:ascii="Arial Black" w:hAnsi="Arial Black"/>
        </w:rPr>
      </w:pPr>
    </w:p>
    <w:p w:rsidR="00B53C21" w:rsidRPr="00617F15" w:rsidRDefault="00B53C21" w:rsidP="00B53C21">
      <w:pPr>
        <w:pStyle w:val="Default"/>
        <w:spacing w:after="120"/>
        <w:jc w:val="center"/>
        <w:rPr>
          <w:b/>
          <w:bCs/>
          <w:sz w:val="52"/>
          <w:szCs w:val="52"/>
        </w:rPr>
      </w:pPr>
      <w:r w:rsidRPr="00617F15">
        <w:rPr>
          <w:b/>
          <w:bCs/>
          <w:sz w:val="52"/>
          <w:szCs w:val="52"/>
        </w:rPr>
        <w:t>L.S COLLEGE MUZAFFARPUR</w:t>
      </w:r>
    </w:p>
    <w:p w:rsidR="00B53C21" w:rsidRPr="00617F15" w:rsidRDefault="00B53C21" w:rsidP="00B53C21">
      <w:pPr>
        <w:pStyle w:val="Default"/>
        <w:spacing w:after="120"/>
        <w:jc w:val="center"/>
        <w:rPr>
          <w:b/>
          <w:bCs/>
          <w:sz w:val="52"/>
          <w:szCs w:val="52"/>
        </w:rPr>
      </w:pPr>
      <w:r w:rsidRPr="00617F15">
        <w:rPr>
          <w:b/>
          <w:bCs/>
          <w:sz w:val="52"/>
          <w:szCs w:val="52"/>
        </w:rPr>
        <w:t>B. R. A. BIHAR UNIVERSITY</w:t>
      </w:r>
    </w:p>
    <w:p w:rsidR="00B53C21" w:rsidRPr="00617F15" w:rsidRDefault="00B53C21" w:rsidP="00B53C21">
      <w:pPr>
        <w:pStyle w:val="Default"/>
        <w:spacing w:after="120"/>
        <w:jc w:val="center"/>
        <w:rPr>
          <w:sz w:val="52"/>
          <w:szCs w:val="52"/>
        </w:rPr>
      </w:pPr>
      <w:r w:rsidRPr="00617F15">
        <w:rPr>
          <w:b/>
          <w:bCs/>
          <w:sz w:val="52"/>
          <w:szCs w:val="52"/>
        </w:rPr>
        <w:t>Dr. Priyanka</w:t>
      </w:r>
    </w:p>
    <w:p w:rsidR="00B53C21" w:rsidRDefault="00B53C21" w:rsidP="00B53C21">
      <w:pPr>
        <w:spacing w:after="120"/>
        <w:rPr>
          <w:b/>
          <w:bCs/>
          <w:sz w:val="52"/>
          <w:szCs w:val="52"/>
        </w:rPr>
      </w:pPr>
      <w:r w:rsidRPr="00617F15">
        <w:rPr>
          <w:b/>
          <w:bCs/>
          <w:sz w:val="52"/>
          <w:szCs w:val="52"/>
        </w:rPr>
        <w:t>TOPIC:-</w:t>
      </w:r>
      <w:r>
        <w:rPr>
          <w:b/>
          <w:bCs/>
          <w:sz w:val="52"/>
          <w:szCs w:val="52"/>
        </w:rPr>
        <w:t>UNIT -3,Introduction &amp;General characteristics</w:t>
      </w:r>
      <w:r w:rsidR="00E80813">
        <w:rPr>
          <w:b/>
          <w:bCs/>
          <w:sz w:val="52"/>
          <w:szCs w:val="52"/>
        </w:rPr>
        <w:t>,</w:t>
      </w:r>
    </w:p>
    <w:p w:rsidR="00E80813" w:rsidRDefault="00E80813" w:rsidP="00E80813">
      <w:pPr>
        <w:pStyle w:val="Heading2"/>
        <w:numPr>
          <w:ilvl w:val="2"/>
          <w:numId w:val="6"/>
        </w:numPr>
        <w:tabs>
          <w:tab w:val="left" w:pos="976"/>
        </w:tabs>
        <w:spacing w:before="180"/>
        <w:rPr>
          <w:sz w:val="36"/>
          <w:szCs w:val="36"/>
          <w:u w:val="single"/>
        </w:rPr>
      </w:pPr>
      <w:r w:rsidRPr="00E80813">
        <w:rPr>
          <w:sz w:val="36"/>
          <w:szCs w:val="36"/>
          <w:u w:val="single"/>
        </w:rPr>
        <w:t>Formation of Coloured Ions /</w:t>
      </w:r>
      <w:r w:rsidRPr="00E80813">
        <w:rPr>
          <w:spacing w:val="9"/>
          <w:sz w:val="36"/>
          <w:szCs w:val="36"/>
          <w:u w:val="single"/>
        </w:rPr>
        <w:t xml:space="preserve"> </w:t>
      </w:r>
      <w:r w:rsidRPr="00E80813">
        <w:rPr>
          <w:sz w:val="36"/>
          <w:szCs w:val="36"/>
          <w:u w:val="single"/>
        </w:rPr>
        <w:t>Compounds.</w:t>
      </w:r>
    </w:p>
    <w:p w:rsidR="00E80813" w:rsidRDefault="00E80813" w:rsidP="00E80813">
      <w:pPr>
        <w:pStyle w:val="Heading2"/>
        <w:numPr>
          <w:ilvl w:val="2"/>
          <w:numId w:val="6"/>
        </w:numPr>
        <w:tabs>
          <w:tab w:val="left" w:pos="973"/>
        </w:tabs>
        <w:spacing w:before="194"/>
        <w:ind w:left="972" w:hanging="550"/>
        <w:jc w:val="both"/>
        <w:rPr>
          <w:sz w:val="36"/>
          <w:szCs w:val="36"/>
          <w:u w:val="single"/>
        </w:rPr>
      </w:pPr>
      <w:r w:rsidRPr="00E80813">
        <w:rPr>
          <w:sz w:val="36"/>
          <w:szCs w:val="36"/>
          <w:u w:val="single"/>
        </w:rPr>
        <w:t>Catalytic</w:t>
      </w:r>
      <w:r w:rsidRPr="00E80813">
        <w:rPr>
          <w:spacing w:val="-3"/>
          <w:sz w:val="36"/>
          <w:szCs w:val="36"/>
          <w:u w:val="single"/>
        </w:rPr>
        <w:t xml:space="preserve"> </w:t>
      </w:r>
      <w:r w:rsidRPr="00E80813">
        <w:rPr>
          <w:sz w:val="36"/>
          <w:szCs w:val="36"/>
          <w:u w:val="single"/>
        </w:rPr>
        <w:t>Activity</w:t>
      </w:r>
    </w:p>
    <w:p w:rsidR="00E80813" w:rsidRDefault="00E80813" w:rsidP="00E80813">
      <w:pPr>
        <w:pStyle w:val="Heading2"/>
        <w:numPr>
          <w:ilvl w:val="2"/>
          <w:numId w:val="6"/>
        </w:numPr>
        <w:tabs>
          <w:tab w:val="left" w:pos="976"/>
        </w:tabs>
        <w:spacing w:before="195"/>
        <w:rPr>
          <w:sz w:val="36"/>
          <w:szCs w:val="36"/>
          <w:u w:val="single"/>
        </w:rPr>
      </w:pPr>
      <w:r w:rsidRPr="00E80813">
        <w:rPr>
          <w:sz w:val="36"/>
          <w:szCs w:val="36"/>
          <w:u w:val="single"/>
        </w:rPr>
        <w:t>Formation of Interstitial and Non-stoichiometric</w:t>
      </w:r>
      <w:r w:rsidRPr="00E80813">
        <w:rPr>
          <w:spacing w:val="27"/>
          <w:sz w:val="36"/>
          <w:szCs w:val="36"/>
          <w:u w:val="single"/>
        </w:rPr>
        <w:t xml:space="preserve"> </w:t>
      </w:r>
      <w:r w:rsidRPr="00E80813">
        <w:rPr>
          <w:sz w:val="36"/>
          <w:szCs w:val="36"/>
          <w:u w:val="single"/>
        </w:rPr>
        <w:t>compounds.</w:t>
      </w:r>
    </w:p>
    <w:p w:rsidR="00E80813" w:rsidRPr="00E80813" w:rsidRDefault="00E80813" w:rsidP="00E80813">
      <w:pPr>
        <w:pStyle w:val="Heading2"/>
        <w:numPr>
          <w:ilvl w:val="2"/>
          <w:numId w:val="6"/>
        </w:numPr>
        <w:tabs>
          <w:tab w:val="left" w:pos="976"/>
        </w:tabs>
        <w:rPr>
          <w:sz w:val="36"/>
          <w:szCs w:val="36"/>
          <w:u w:val="single"/>
        </w:rPr>
      </w:pPr>
      <w:r w:rsidRPr="00E80813">
        <w:rPr>
          <w:sz w:val="36"/>
          <w:szCs w:val="36"/>
          <w:u w:val="single"/>
        </w:rPr>
        <w:t>Metallic character and Alloy</w:t>
      </w:r>
      <w:r w:rsidRPr="00E80813">
        <w:rPr>
          <w:spacing w:val="11"/>
          <w:sz w:val="36"/>
          <w:szCs w:val="36"/>
          <w:u w:val="single"/>
        </w:rPr>
        <w:t xml:space="preserve"> </w:t>
      </w:r>
      <w:r w:rsidRPr="00E80813">
        <w:rPr>
          <w:sz w:val="36"/>
          <w:szCs w:val="36"/>
          <w:u w:val="single"/>
        </w:rPr>
        <w:t>Formation.</w:t>
      </w:r>
    </w:p>
    <w:p w:rsidR="00E80813" w:rsidRPr="00E80813" w:rsidRDefault="00E80813" w:rsidP="00E80813">
      <w:pPr>
        <w:pStyle w:val="BodyText"/>
        <w:spacing w:before="1"/>
        <w:rPr>
          <w:b/>
          <w:sz w:val="36"/>
          <w:szCs w:val="36"/>
          <w:u w:val="single"/>
        </w:rPr>
      </w:pPr>
    </w:p>
    <w:p w:rsidR="00E80813" w:rsidRPr="00E80813" w:rsidRDefault="00E80813" w:rsidP="00E80813">
      <w:pPr>
        <w:spacing w:after="120"/>
        <w:rPr>
          <w:sz w:val="52"/>
          <w:szCs w:val="52"/>
          <w:u w:val="single"/>
        </w:rPr>
      </w:pPr>
      <w:r w:rsidRPr="00E80813">
        <w:rPr>
          <w:b/>
          <w:bCs/>
          <w:sz w:val="52"/>
          <w:szCs w:val="52"/>
          <w:u w:val="single"/>
        </w:rPr>
        <w:lastRenderedPageBreak/>
        <w:t>General characteristics</w:t>
      </w:r>
    </w:p>
    <w:p w:rsidR="00D2338F" w:rsidRPr="00E80813" w:rsidRDefault="000C6B92">
      <w:pPr>
        <w:pStyle w:val="Heading2"/>
        <w:numPr>
          <w:ilvl w:val="2"/>
          <w:numId w:val="6"/>
        </w:numPr>
        <w:tabs>
          <w:tab w:val="left" w:pos="976"/>
        </w:tabs>
        <w:spacing w:before="180"/>
        <w:rPr>
          <w:sz w:val="36"/>
          <w:szCs w:val="36"/>
          <w:u w:val="single"/>
        </w:rPr>
      </w:pPr>
      <w:r w:rsidRPr="00E80813">
        <w:rPr>
          <w:sz w:val="36"/>
          <w:szCs w:val="36"/>
          <w:u w:val="single"/>
        </w:rPr>
        <w:t>Formation of Coloured Ions /</w:t>
      </w:r>
      <w:r w:rsidRPr="00E80813">
        <w:rPr>
          <w:spacing w:val="9"/>
          <w:sz w:val="36"/>
          <w:szCs w:val="36"/>
          <w:u w:val="single"/>
        </w:rPr>
        <w:t xml:space="preserve"> </w:t>
      </w:r>
      <w:r w:rsidRPr="00E80813">
        <w:rPr>
          <w:sz w:val="36"/>
          <w:szCs w:val="36"/>
          <w:u w:val="single"/>
        </w:rPr>
        <w:t>Compounds.</w:t>
      </w:r>
    </w:p>
    <w:p w:rsidR="00D2338F" w:rsidRPr="00E80813" w:rsidRDefault="00D2338F">
      <w:pPr>
        <w:pStyle w:val="BodyText"/>
        <w:spacing w:before="1"/>
        <w:rPr>
          <w:b/>
          <w:sz w:val="36"/>
          <w:szCs w:val="36"/>
          <w:u w:val="single"/>
        </w:rPr>
      </w:pPr>
    </w:p>
    <w:p w:rsidR="00D2338F" w:rsidRDefault="000C6B92">
      <w:pPr>
        <w:pStyle w:val="BodyText"/>
        <w:tabs>
          <w:tab w:val="left" w:leader="dot" w:pos="7584"/>
        </w:tabs>
        <w:spacing w:line="369" w:lineRule="auto"/>
        <w:ind w:left="423" w:right="726"/>
        <w:jc w:val="both"/>
      </w:pPr>
      <w:r>
        <w:t>The elements of the second transition series also form coloured ions / compounds / complexes whether in solid or in solution state, due to usual reasons  as have  been given for those of first transition series as well as for general d-block elements. The cations having vacant or completely filled d-orbitals (d</w:t>
      </w:r>
      <w:r>
        <w:rPr>
          <w:vertAlign w:val="superscript"/>
        </w:rPr>
        <w:t>0</w:t>
      </w:r>
      <w:r>
        <w:t xml:space="preserve"> or d</w:t>
      </w:r>
      <w:r>
        <w:rPr>
          <w:vertAlign w:val="superscript"/>
        </w:rPr>
        <w:t>10</w:t>
      </w:r>
      <w:r>
        <w:t xml:space="preserve">) are colourless in the case  of this series also. But,  those with partly filled d-orbitals </w:t>
      </w:r>
      <w:r>
        <w:rPr>
          <w:spacing w:val="7"/>
        </w:rPr>
        <w:t xml:space="preserve"> </w:t>
      </w:r>
      <w:r>
        <w:t>(d</w:t>
      </w:r>
      <w:r>
        <w:rPr>
          <w:vertAlign w:val="superscript"/>
        </w:rPr>
        <w:t>1</w:t>
      </w:r>
      <w:r>
        <w:t>,  d</w:t>
      </w:r>
      <w:r>
        <w:rPr>
          <w:vertAlign w:val="superscript"/>
        </w:rPr>
        <w:t>2</w:t>
      </w:r>
      <w:r>
        <w:t>,</w:t>
      </w:r>
      <w:r>
        <w:rPr>
          <w:spacing w:val="20"/>
        </w:rPr>
        <w:t xml:space="preserve"> </w:t>
      </w:r>
      <w:r>
        <w:t>d</w:t>
      </w:r>
      <w:r>
        <w:rPr>
          <w:vertAlign w:val="superscript"/>
        </w:rPr>
        <w:t>3</w:t>
      </w:r>
      <w:r>
        <w:rPr>
          <w:position w:val="10"/>
        </w:rPr>
        <w:tab/>
      </w:r>
      <w:r>
        <w:t>d</w:t>
      </w:r>
      <w:r>
        <w:rPr>
          <w:vertAlign w:val="superscript"/>
        </w:rPr>
        <w:t>9</w:t>
      </w:r>
      <w:r>
        <w:t>)</w:t>
      </w:r>
      <w:r>
        <w:rPr>
          <w:spacing w:val="18"/>
        </w:rPr>
        <w:t xml:space="preserve"> </w:t>
      </w:r>
      <w:r>
        <w:t>are</w:t>
      </w:r>
    </w:p>
    <w:p w:rsidR="00D2338F" w:rsidRDefault="000C6B92">
      <w:pPr>
        <w:pStyle w:val="BodyText"/>
        <w:spacing w:line="369" w:lineRule="auto"/>
        <w:ind w:left="423" w:right="726"/>
        <w:jc w:val="both"/>
      </w:pPr>
      <w:r>
        <w:t>coloured. It means the cations having all the electrons paired in d-orbitals or no electrons in this subshell are colourless but those cations /  compounds  having  unpaired (some or all) in d-orbitals are coloured. If n is the number of unpaired electrons</w:t>
      </w:r>
      <w:r>
        <w:rPr>
          <w:spacing w:val="15"/>
        </w:rPr>
        <w:t xml:space="preserve"> </w:t>
      </w:r>
      <w:r>
        <w:t>in</w:t>
      </w:r>
      <w:r>
        <w:rPr>
          <w:spacing w:val="12"/>
        </w:rPr>
        <w:t xml:space="preserve"> </w:t>
      </w:r>
      <w:r>
        <w:t>d-subshell,</w:t>
      </w:r>
      <w:r>
        <w:rPr>
          <w:spacing w:val="15"/>
        </w:rPr>
        <w:t xml:space="preserve"> </w:t>
      </w:r>
      <w:r>
        <w:t>then</w:t>
      </w:r>
      <w:r>
        <w:rPr>
          <w:spacing w:val="15"/>
        </w:rPr>
        <w:t xml:space="preserve"> </w:t>
      </w:r>
      <w:r>
        <w:t>the</w:t>
      </w:r>
      <w:r>
        <w:rPr>
          <w:spacing w:val="15"/>
        </w:rPr>
        <w:t xml:space="preserve"> </w:t>
      </w:r>
      <w:r>
        <w:t>ions</w:t>
      </w:r>
      <w:r>
        <w:rPr>
          <w:spacing w:val="12"/>
        </w:rPr>
        <w:t xml:space="preserve"> </w:t>
      </w:r>
      <w:r>
        <w:t>having</w:t>
      </w:r>
      <w:r>
        <w:rPr>
          <w:spacing w:val="9"/>
        </w:rPr>
        <w:t xml:space="preserve"> </w:t>
      </w:r>
      <w:r>
        <w:t>n</w:t>
      </w:r>
      <w:r>
        <w:rPr>
          <w:spacing w:val="17"/>
        </w:rPr>
        <w:t xml:space="preserve"> </w:t>
      </w:r>
      <w:r>
        <w:t>=</w:t>
      </w:r>
      <w:r>
        <w:rPr>
          <w:spacing w:val="11"/>
        </w:rPr>
        <w:t xml:space="preserve"> </w:t>
      </w:r>
      <w:r>
        <w:t>0</w:t>
      </w:r>
      <w:r>
        <w:rPr>
          <w:spacing w:val="15"/>
        </w:rPr>
        <w:t xml:space="preserve"> </w:t>
      </w:r>
      <w:r>
        <w:t>are</w:t>
      </w:r>
      <w:r>
        <w:rPr>
          <w:spacing w:val="15"/>
        </w:rPr>
        <w:t xml:space="preserve"> </w:t>
      </w:r>
      <w:r>
        <w:t>colourless</w:t>
      </w:r>
      <w:r>
        <w:rPr>
          <w:spacing w:val="12"/>
        </w:rPr>
        <w:t xml:space="preserve"> </w:t>
      </w:r>
      <w:r>
        <w:t>while</w:t>
      </w:r>
      <w:r>
        <w:rPr>
          <w:spacing w:val="12"/>
        </w:rPr>
        <w:t xml:space="preserve"> </w:t>
      </w:r>
      <w:r>
        <w:t>those</w:t>
      </w:r>
      <w:r>
        <w:rPr>
          <w:spacing w:val="15"/>
        </w:rPr>
        <w:t xml:space="preserve"> </w:t>
      </w:r>
      <w:r>
        <w:t>having</w:t>
      </w:r>
      <w:r>
        <w:rPr>
          <w:spacing w:val="9"/>
        </w:rPr>
        <w:t xml:space="preserve"> </w:t>
      </w:r>
      <w:r>
        <w:t>n</w:t>
      </w:r>
    </w:p>
    <w:p w:rsidR="00D2338F" w:rsidRDefault="000C6B92">
      <w:pPr>
        <w:pStyle w:val="BodyText"/>
        <w:spacing w:line="369" w:lineRule="auto"/>
        <w:ind w:left="423" w:right="727"/>
        <w:jc w:val="both"/>
      </w:pPr>
      <w:r>
        <w:t>= 1, 2,….,5 are coloured. In addition to the presence of unpaired electrons in  d- subshell or incomplete d-subshell, the nature of atoms (in the compounds) or ligands  (in the complexes) attached to central metal ion determines the colour of the compounds as a</w:t>
      </w:r>
      <w:r>
        <w:rPr>
          <w:spacing w:val="8"/>
        </w:rPr>
        <w:t xml:space="preserve"> </w:t>
      </w:r>
      <w:r>
        <w:t>whole.</w:t>
      </w:r>
    </w:p>
    <w:p w:rsidR="00D2338F" w:rsidRDefault="000C6B92">
      <w:pPr>
        <w:pStyle w:val="BodyText"/>
        <w:spacing w:before="182" w:line="369" w:lineRule="auto"/>
        <w:ind w:left="423" w:right="726"/>
        <w:jc w:val="both"/>
      </w:pPr>
      <w:r>
        <w:t>As has been explained earlier, the colour in the substances is developed due to the movement of electrons from one d-orbital to another under the influence of  visible  light falling on the substance. The colour is intense if the transition is allowed but becomes dull if it is forbidden. If in place of inter orbital transition, inter atomic transitions take place, intense colours are produced because such transitions are not affected by the selection rules (</w:t>
      </w:r>
      <w:r>
        <w:rPr>
          <w:i/>
        </w:rPr>
        <w:t xml:space="preserve">viz. </w:t>
      </w:r>
      <w:r>
        <w:t>spin, Laporte and symmetry selection  rules)  thereby allowing free transition of</w:t>
      </w:r>
      <w:r>
        <w:rPr>
          <w:spacing w:val="7"/>
        </w:rPr>
        <w:t xml:space="preserve"> </w:t>
      </w:r>
      <w:r>
        <w:t>electrons.</w:t>
      </w:r>
    </w:p>
    <w:p w:rsidR="00D2338F" w:rsidRPr="00E80813" w:rsidRDefault="000C6B92">
      <w:pPr>
        <w:pStyle w:val="Heading2"/>
        <w:numPr>
          <w:ilvl w:val="2"/>
          <w:numId w:val="6"/>
        </w:numPr>
        <w:tabs>
          <w:tab w:val="left" w:pos="973"/>
        </w:tabs>
        <w:spacing w:before="194"/>
        <w:ind w:left="972" w:hanging="550"/>
        <w:jc w:val="both"/>
        <w:rPr>
          <w:sz w:val="36"/>
          <w:szCs w:val="36"/>
          <w:u w:val="single"/>
        </w:rPr>
      </w:pPr>
      <w:r w:rsidRPr="00E80813">
        <w:rPr>
          <w:sz w:val="36"/>
          <w:szCs w:val="36"/>
          <w:u w:val="single"/>
        </w:rPr>
        <w:t>Catalytic</w:t>
      </w:r>
      <w:r w:rsidRPr="00E80813">
        <w:rPr>
          <w:spacing w:val="-3"/>
          <w:sz w:val="36"/>
          <w:szCs w:val="36"/>
          <w:u w:val="single"/>
        </w:rPr>
        <w:t xml:space="preserve"> </w:t>
      </w:r>
      <w:r w:rsidRPr="00E80813">
        <w:rPr>
          <w:sz w:val="36"/>
          <w:szCs w:val="36"/>
          <w:u w:val="single"/>
        </w:rPr>
        <w:t>Activity</w:t>
      </w:r>
    </w:p>
    <w:p w:rsidR="00D2338F" w:rsidRPr="00E80813" w:rsidRDefault="00D2338F">
      <w:pPr>
        <w:pStyle w:val="BodyText"/>
        <w:spacing w:before="1"/>
        <w:rPr>
          <w:b/>
          <w:sz w:val="36"/>
          <w:szCs w:val="36"/>
          <w:u w:val="single"/>
        </w:rPr>
      </w:pPr>
    </w:p>
    <w:p w:rsidR="00D2338F" w:rsidRDefault="000C6B92">
      <w:pPr>
        <w:pStyle w:val="BodyText"/>
        <w:spacing w:before="1" w:line="369" w:lineRule="auto"/>
        <w:ind w:left="423" w:right="728"/>
        <w:jc w:val="both"/>
      </w:pPr>
      <w:r>
        <w:t>Like the elements of first transition series, those of second transition series also show catalytic activity, some of them being very important and useful as catalysts in a  variety of reactions of industrial importance. This is because these are capable of forming inter mediate products with the reactants or have active centres on</w:t>
      </w:r>
      <w:r>
        <w:rPr>
          <w:spacing w:val="34"/>
        </w:rPr>
        <w:t xml:space="preserve"> </w:t>
      </w:r>
      <w:r>
        <w:t>their</w:t>
      </w:r>
    </w:p>
    <w:p w:rsidR="00D2338F" w:rsidRDefault="00D2338F">
      <w:pPr>
        <w:spacing w:line="369" w:lineRule="auto"/>
        <w:jc w:val="both"/>
      </w:pPr>
    </w:p>
    <w:p w:rsidR="00D2338F" w:rsidRDefault="00D2338F">
      <w:pPr>
        <w:pStyle w:val="BodyText"/>
        <w:rPr>
          <w:sz w:val="20"/>
        </w:rPr>
      </w:pPr>
    </w:p>
    <w:p w:rsidR="00D2338F" w:rsidRDefault="00D2338F">
      <w:pPr>
        <w:pStyle w:val="BodyText"/>
        <w:spacing w:before="9"/>
        <w:rPr>
          <w:sz w:val="15"/>
        </w:rPr>
      </w:pPr>
    </w:p>
    <w:p w:rsidR="00D2338F" w:rsidRDefault="000C6B92">
      <w:pPr>
        <w:pStyle w:val="BodyText"/>
        <w:spacing w:before="96" w:line="369" w:lineRule="auto"/>
        <w:ind w:left="423" w:right="726"/>
        <w:jc w:val="both"/>
      </w:pPr>
      <w:r>
        <w:t>surface in the activated state which can activate the reactants  for  the  desired  reactions. For</w:t>
      </w:r>
      <w:r>
        <w:rPr>
          <w:spacing w:val="2"/>
        </w:rPr>
        <w:t xml:space="preserve"> </w:t>
      </w:r>
      <w:r>
        <w:t>example,</w:t>
      </w:r>
    </w:p>
    <w:p w:rsidR="00D2338F" w:rsidRDefault="000C6B92">
      <w:pPr>
        <w:pStyle w:val="ListParagraph"/>
        <w:numPr>
          <w:ilvl w:val="3"/>
          <w:numId w:val="6"/>
        </w:numPr>
        <w:tabs>
          <w:tab w:val="left" w:pos="1100"/>
        </w:tabs>
        <w:spacing w:before="186"/>
      </w:pPr>
      <w:r>
        <w:t>Pd is used in the hydrogenation of phenol to</w:t>
      </w:r>
      <w:r>
        <w:rPr>
          <w:spacing w:val="27"/>
        </w:rPr>
        <w:t xml:space="preserve"> </w:t>
      </w:r>
      <w:r>
        <w:t>cyclohexanol.</w:t>
      </w:r>
    </w:p>
    <w:p w:rsidR="00D2338F" w:rsidRDefault="000C6B92">
      <w:pPr>
        <w:pStyle w:val="ListParagraph"/>
        <w:numPr>
          <w:ilvl w:val="3"/>
          <w:numId w:val="6"/>
        </w:numPr>
        <w:tabs>
          <w:tab w:val="left" w:pos="1100"/>
        </w:tabs>
        <w:spacing w:before="138"/>
      </w:pPr>
      <w:r>
        <w:t>Pd/Pt catalyses the hydrogenation of unsaturated</w:t>
      </w:r>
      <w:r>
        <w:rPr>
          <w:spacing w:val="24"/>
        </w:rPr>
        <w:t xml:space="preserve"> </w:t>
      </w:r>
      <w:r>
        <w:t>hydrocarbons.</w:t>
      </w:r>
    </w:p>
    <w:p w:rsidR="00D2338F" w:rsidRDefault="000C6B92">
      <w:pPr>
        <w:pStyle w:val="ListParagraph"/>
        <w:numPr>
          <w:ilvl w:val="3"/>
          <w:numId w:val="6"/>
        </w:numPr>
        <w:tabs>
          <w:tab w:val="left" w:pos="1100"/>
        </w:tabs>
        <w:spacing w:before="136"/>
        <w:ind w:left="1099"/>
      </w:pPr>
      <w:r>
        <w:t>Mo</w:t>
      </w:r>
      <w:r>
        <w:rPr>
          <w:spacing w:val="5"/>
        </w:rPr>
        <w:t xml:space="preserve"> </w:t>
      </w:r>
      <w:r>
        <w:t>is</w:t>
      </w:r>
      <w:r>
        <w:rPr>
          <w:spacing w:val="5"/>
        </w:rPr>
        <w:t xml:space="preserve"> </w:t>
      </w:r>
      <w:r>
        <w:t>used</w:t>
      </w:r>
      <w:r>
        <w:rPr>
          <w:spacing w:val="4"/>
        </w:rPr>
        <w:t xml:space="preserve"> </w:t>
      </w:r>
      <w:r>
        <w:t>as</w:t>
      </w:r>
      <w:r>
        <w:rPr>
          <w:spacing w:val="4"/>
        </w:rPr>
        <w:t xml:space="preserve"> </w:t>
      </w:r>
      <w:r>
        <w:t>a</w:t>
      </w:r>
      <w:r>
        <w:rPr>
          <w:spacing w:val="7"/>
        </w:rPr>
        <w:t xml:space="preserve"> </w:t>
      </w:r>
      <w:r>
        <w:t>promoter</w:t>
      </w:r>
      <w:r>
        <w:rPr>
          <w:spacing w:val="6"/>
        </w:rPr>
        <w:t xml:space="preserve"> </w:t>
      </w:r>
      <w:r>
        <w:t>in</w:t>
      </w:r>
      <w:r>
        <w:rPr>
          <w:spacing w:val="6"/>
        </w:rPr>
        <w:t xml:space="preserve"> </w:t>
      </w:r>
      <w:r>
        <w:t>the</w:t>
      </w:r>
      <w:r>
        <w:rPr>
          <w:spacing w:val="7"/>
        </w:rPr>
        <w:t xml:space="preserve"> </w:t>
      </w:r>
      <w:r>
        <w:t>manufacture</w:t>
      </w:r>
      <w:r>
        <w:rPr>
          <w:spacing w:val="4"/>
        </w:rPr>
        <w:t xml:space="preserve"> </w:t>
      </w:r>
      <w:r>
        <w:t>of</w:t>
      </w:r>
      <w:r>
        <w:rPr>
          <w:spacing w:val="6"/>
        </w:rPr>
        <w:t xml:space="preserve"> </w:t>
      </w:r>
      <w:r>
        <w:t>ammonia</w:t>
      </w:r>
      <w:r>
        <w:rPr>
          <w:spacing w:val="7"/>
        </w:rPr>
        <w:t xml:space="preserve"> </w:t>
      </w:r>
      <w:r>
        <w:t>by</w:t>
      </w:r>
      <w:r>
        <w:rPr>
          <w:spacing w:val="6"/>
        </w:rPr>
        <w:t xml:space="preserve"> </w:t>
      </w:r>
      <w:r>
        <w:t>Haber</w:t>
      </w:r>
      <w:r>
        <w:rPr>
          <w:spacing w:val="2"/>
        </w:rPr>
        <w:t xml:space="preserve"> </w:t>
      </w:r>
      <w:r>
        <w:t>process.</w:t>
      </w:r>
    </w:p>
    <w:p w:rsidR="00D2338F" w:rsidRDefault="000C6B92">
      <w:pPr>
        <w:pStyle w:val="ListParagraph"/>
        <w:numPr>
          <w:ilvl w:val="3"/>
          <w:numId w:val="6"/>
        </w:numPr>
        <w:tabs>
          <w:tab w:val="left" w:pos="1100"/>
        </w:tabs>
        <w:spacing w:before="136" w:line="369" w:lineRule="auto"/>
        <w:ind w:left="1099" w:right="730"/>
      </w:pPr>
      <w:r>
        <w:t>Pt/Rh is used as catalyst in the oxidation of NH</w:t>
      </w:r>
      <w:r>
        <w:rPr>
          <w:vertAlign w:val="subscript"/>
        </w:rPr>
        <w:t>3</w:t>
      </w:r>
      <w:r>
        <w:t xml:space="preserve"> to NO  (manufacture  of HNO</w:t>
      </w:r>
      <w:r>
        <w:rPr>
          <w:vertAlign w:val="subscript"/>
        </w:rPr>
        <w:t>3).</w:t>
      </w:r>
    </w:p>
    <w:p w:rsidR="00D2338F" w:rsidRPr="00E80813" w:rsidRDefault="000C6B92">
      <w:pPr>
        <w:pStyle w:val="Heading2"/>
        <w:numPr>
          <w:ilvl w:val="2"/>
          <w:numId w:val="6"/>
        </w:numPr>
        <w:tabs>
          <w:tab w:val="left" w:pos="976"/>
        </w:tabs>
        <w:spacing w:before="195"/>
        <w:rPr>
          <w:sz w:val="36"/>
          <w:szCs w:val="36"/>
          <w:u w:val="single"/>
        </w:rPr>
      </w:pPr>
      <w:r w:rsidRPr="00E80813">
        <w:rPr>
          <w:sz w:val="36"/>
          <w:szCs w:val="36"/>
          <w:u w:val="single"/>
        </w:rPr>
        <w:t>Formation of Interstitial and Non-stoichiometric</w:t>
      </w:r>
      <w:r w:rsidRPr="00E80813">
        <w:rPr>
          <w:spacing w:val="27"/>
          <w:sz w:val="36"/>
          <w:szCs w:val="36"/>
          <w:u w:val="single"/>
        </w:rPr>
        <w:t xml:space="preserve"> </w:t>
      </w:r>
      <w:r w:rsidRPr="00E80813">
        <w:rPr>
          <w:sz w:val="36"/>
          <w:szCs w:val="36"/>
          <w:u w:val="single"/>
        </w:rPr>
        <w:t>compounds.</w:t>
      </w:r>
    </w:p>
    <w:p w:rsidR="00D2338F" w:rsidRDefault="00D2338F">
      <w:pPr>
        <w:pStyle w:val="BodyText"/>
        <w:spacing w:before="2"/>
        <w:rPr>
          <w:b/>
          <w:sz w:val="28"/>
        </w:rPr>
      </w:pPr>
    </w:p>
    <w:p w:rsidR="00D2338F" w:rsidRDefault="000C6B92">
      <w:pPr>
        <w:pStyle w:val="BodyText"/>
        <w:spacing w:line="369" w:lineRule="auto"/>
        <w:ind w:left="423" w:right="725" w:firstLine="676"/>
        <w:jc w:val="both"/>
      </w:pPr>
      <w:r>
        <w:t xml:space="preserve">The metals of second transition series, in general, form interstitial compounds with small non-metallic elements such as H, </w:t>
      </w:r>
      <w:r>
        <w:rPr>
          <w:spacing w:val="-3"/>
        </w:rPr>
        <w:t xml:space="preserve">N, </w:t>
      </w:r>
      <w:r>
        <w:t>C etc. The lattice of these metals is capable of accommodating these small atoms between the metal atoms  with  no  change in the lattice structure. Examples are: PdH</w:t>
      </w:r>
      <w:r>
        <w:rPr>
          <w:vertAlign w:val="subscript"/>
        </w:rPr>
        <w:t>0.6</w:t>
      </w:r>
      <w:r>
        <w:t>, ZrH</w:t>
      </w:r>
      <w:r>
        <w:rPr>
          <w:vertAlign w:val="subscript"/>
        </w:rPr>
        <w:t>1.98</w:t>
      </w:r>
      <w:r>
        <w:t>, ZrC, NbC, MoC, Mo</w:t>
      </w:r>
      <w:r>
        <w:rPr>
          <w:vertAlign w:val="subscript"/>
        </w:rPr>
        <w:t>2</w:t>
      </w:r>
      <w:r>
        <w:t>C, ZrN, NbN, Mo</w:t>
      </w:r>
      <w:r>
        <w:rPr>
          <w:vertAlign w:val="subscript"/>
        </w:rPr>
        <w:t>2</w:t>
      </w:r>
      <w:r>
        <w:t>N etc. These compounds have conductivity properties and are  hard, thus behaving as</w:t>
      </w:r>
      <w:r>
        <w:rPr>
          <w:spacing w:val="6"/>
        </w:rPr>
        <w:t xml:space="preserve"> </w:t>
      </w:r>
      <w:r>
        <w:t>alloys.</w:t>
      </w:r>
    </w:p>
    <w:p w:rsidR="00D2338F" w:rsidRDefault="000C6B92">
      <w:pPr>
        <w:pStyle w:val="BodyText"/>
        <w:spacing w:before="187" w:line="379" w:lineRule="auto"/>
        <w:ind w:left="423" w:right="724" w:firstLine="676"/>
        <w:jc w:val="both"/>
      </w:pPr>
      <w:r>
        <w:t>These elements also form non-stoichiometric compounds which often exhibit semi conductivity, fluorescence and have centres of colours. Above examples of PdH and ZrH</w:t>
      </w:r>
      <w:r>
        <w:rPr>
          <w:vertAlign w:val="subscript"/>
        </w:rPr>
        <w:t>2</w:t>
      </w:r>
      <w:r>
        <w:t xml:space="preserve"> also furnish the examples of non-stoichiomestry. Apparently the molecular formula of these compounds does not correspond to M</w:t>
      </w:r>
      <w:r>
        <w:rPr>
          <w:rFonts w:ascii="Arial"/>
          <w:sz w:val="20"/>
        </w:rPr>
        <w:t xml:space="preserve">: </w:t>
      </w:r>
      <w:r>
        <w:t>H ratio of 1:1 and 1:2.</w:t>
      </w:r>
    </w:p>
    <w:p w:rsidR="00D2338F" w:rsidRDefault="000C6B92">
      <w:pPr>
        <w:pStyle w:val="BodyText"/>
        <w:spacing w:before="65"/>
        <w:ind w:left="423"/>
        <w:jc w:val="both"/>
      </w:pPr>
      <w:r>
        <w:t>Actually, the M: H ratio in these compounds is 1: 0.6 and 1:1.98, respectively.</w:t>
      </w:r>
    </w:p>
    <w:p w:rsidR="00D2338F" w:rsidRDefault="00D2338F">
      <w:pPr>
        <w:pStyle w:val="BodyText"/>
        <w:spacing w:before="11"/>
        <w:rPr>
          <w:sz w:val="28"/>
        </w:rPr>
      </w:pPr>
    </w:p>
    <w:p w:rsidR="00D2338F" w:rsidRPr="00E80813" w:rsidRDefault="000C6B92">
      <w:pPr>
        <w:pStyle w:val="Heading2"/>
        <w:numPr>
          <w:ilvl w:val="2"/>
          <w:numId w:val="6"/>
        </w:numPr>
        <w:tabs>
          <w:tab w:val="left" w:pos="976"/>
        </w:tabs>
        <w:rPr>
          <w:sz w:val="36"/>
          <w:szCs w:val="36"/>
          <w:u w:val="single"/>
        </w:rPr>
      </w:pPr>
      <w:r w:rsidRPr="00E80813">
        <w:rPr>
          <w:sz w:val="36"/>
          <w:szCs w:val="36"/>
          <w:u w:val="single"/>
        </w:rPr>
        <w:t>Metallic character and Alloy</w:t>
      </w:r>
      <w:r w:rsidRPr="00E80813">
        <w:rPr>
          <w:spacing w:val="11"/>
          <w:sz w:val="36"/>
          <w:szCs w:val="36"/>
          <w:u w:val="single"/>
        </w:rPr>
        <w:t xml:space="preserve"> </w:t>
      </w:r>
      <w:r w:rsidRPr="00E80813">
        <w:rPr>
          <w:sz w:val="36"/>
          <w:szCs w:val="36"/>
          <w:u w:val="single"/>
        </w:rPr>
        <w:t>Formation.</w:t>
      </w:r>
    </w:p>
    <w:p w:rsidR="00D2338F" w:rsidRPr="00E80813" w:rsidRDefault="00D2338F">
      <w:pPr>
        <w:pStyle w:val="BodyText"/>
        <w:spacing w:before="1"/>
        <w:rPr>
          <w:b/>
          <w:sz w:val="36"/>
          <w:szCs w:val="36"/>
          <w:u w:val="single"/>
        </w:rPr>
      </w:pPr>
    </w:p>
    <w:p w:rsidR="00D2338F" w:rsidRDefault="000C6B92">
      <w:pPr>
        <w:pStyle w:val="BodyText"/>
        <w:spacing w:line="369" w:lineRule="auto"/>
        <w:ind w:left="423" w:right="726" w:firstLine="676"/>
        <w:jc w:val="both"/>
      </w:pPr>
      <w:r>
        <w:t>All the elements of second transition  series are metals which  are  hard,  some of them malleable and ductile (e.g., Ag), fairly good conductors  of  heat  and electricity. They crystallize in one of the following lattice structures: body centred  cubic (bcc), face centredcubic (fcc) or hexa gonal close packed</w:t>
      </w:r>
      <w:r>
        <w:rPr>
          <w:spacing w:val="47"/>
        </w:rPr>
        <w:t xml:space="preserve"> </w:t>
      </w:r>
      <w:r>
        <w:t>(hcp).</w:t>
      </w:r>
    </w:p>
    <w:p w:rsidR="00D2338F" w:rsidRDefault="000C6B92">
      <w:pPr>
        <w:pStyle w:val="BodyText"/>
        <w:spacing w:before="189" w:line="369" w:lineRule="auto"/>
        <w:ind w:left="423" w:right="726" w:firstLine="676"/>
        <w:jc w:val="both"/>
      </w:pPr>
      <w:r>
        <w:t>The elements of this series also form  alloys though to  the lesser extent than  the elements of first transition series due to the obvious reasons  as  given  earlier. These alloys are also usually harder and have higher melting points  than  parent  metals. They are also corrosion</w:t>
      </w:r>
      <w:r>
        <w:rPr>
          <w:spacing w:val="8"/>
        </w:rPr>
        <w:t xml:space="preserve"> </w:t>
      </w:r>
      <w:r>
        <w:t>proof/resistant.</w:t>
      </w:r>
    </w:p>
    <w:p w:rsidR="00D2338F" w:rsidRDefault="000C6B92">
      <w:pPr>
        <w:pStyle w:val="BodyText"/>
        <w:spacing w:before="187"/>
        <w:ind w:left="423"/>
        <w:jc w:val="both"/>
      </w:pPr>
      <w:r>
        <w:t>These metals are less important than those of the first and third transition series.</w:t>
      </w:r>
    </w:p>
    <w:p w:rsidR="00D2338F" w:rsidRDefault="00D2338F" w:rsidP="00E80813">
      <w:pPr>
        <w:pStyle w:val="BodyText"/>
        <w:rPr>
          <w:sz w:val="20"/>
        </w:rPr>
      </w:pPr>
    </w:p>
    <w:sectPr w:rsidR="00D2338F" w:rsidSect="00D2338F">
      <w:footerReference w:type="default" r:id="rId8"/>
      <w:pgSz w:w="12240" w:h="15840"/>
      <w:pgMar w:top="960" w:right="1600" w:bottom="1320" w:left="1720" w:header="686" w:footer="11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C9A" w:rsidRDefault="00D43C9A" w:rsidP="00D2338F">
      <w:r>
        <w:separator/>
      </w:r>
    </w:p>
  </w:endnote>
  <w:endnote w:type="continuationSeparator" w:id="1">
    <w:p w:rsidR="00D43C9A" w:rsidRDefault="00D43C9A" w:rsidP="00D2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8F" w:rsidRDefault="005E5379">
    <w:pPr>
      <w:pStyle w:val="BodyText"/>
      <w:spacing w:line="14" w:lineRule="auto"/>
      <w:rPr>
        <w:sz w:val="20"/>
      </w:rPr>
    </w:pPr>
    <w:r w:rsidRPr="005E5379">
      <w:pict>
        <v:shapetype id="_x0000_t202" coordsize="21600,21600" o:spt="202" path="m,l,21600r21600,l21600,xe">
          <v:stroke joinstyle="miter"/>
          <v:path gradientshapeok="t" o:connecttype="rect"/>
        </v:shapetype>
        <v:shape id="_x0000_s2055" type="#_x0000_t202" style="position:absolute;margin-left:106.15pt;margin-top:730.2pt;width:199.4pt;height:14.5pt;z-index:-253732864;mso-position-horizontal-relative:page;mso-position-vertical-relative:page" filled="f" stroked="f">
          <v:textbox inset="0,0,0,0">
            <w:txbxContent>
              <w:p w:rsidR="00D2338F" w:rsidRPr="00B53C21" w:rsidRDefault="00D2338F" w:rsidP="00B53C21"/>
            </w:txbxContent>
          </v:textbox>
          <w10:wrap anchorx="page" anchory="page"/>
        </v:shape>
      </w:pict>
    </w:r>
    <w:r w:rsidRPr="005E5379">
      <w:pict>
        <v:shape id="_x0000_s2054" type="#_x0000_t202" style="position:absolute;margin-left:457.3pt;margin-top:730.2pt;width:40.35pt;height:14.5pt;z-index:-253731840;mso-position-horizontal-relative:page;mso-position-vertical-relative:page" filled="f" stroked="f">
          <v:textbox inset="0,0,0,0">
            <w:txbxContent>
              <w:p w:rsidR="00D2338F" w:rsidRPr="00B53C21" w:rsidRDefault="00D2338F" w:rsidP="00B53C21"/>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C9A" w:rsidRDefault="00D43C9A" w:rsidP="00D2338F">
      <w:r>
        <w:separator/>
      </w:r>
    </w:p>
  </w:footnote>
  <w:footnote w:type="continuationSeparator" w:id="1">
    <w:p w:rsidR="00D43C9A" w:rsidRDefault="00D43C9A" w:rsidP="00D23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FA6"/>
    <w:multiLevelType w:val="hybridMultilevel"/>
    <w:tmpl w:val="999C6592"/>
    <w:lvl w:ilvl="0" w:tplc="09CE9AF0">
      <w:start w:val="1"/>
      <w:numFmt w:val="decimal"/>
      <w:lvlText w:val="%1."/>
      <w:lvlJc w:val="left"/>
      <w:pPr>
        <w:ind w:left="1100" w:hanging="339"/>
      </w:pPr>
      <w:rPr>
        <w:rFonts w:ascii="Times New Roman" w:eastAsia="Times New Roman" w:hAnsi="Times New Roman" w:cs="Times New Roman" w:hint="default"/>
        <w:w w:val="102"/>
        <w:sz w:val="22"/>
        <w:szCs w:val="22"/>
        <w:lang w:val="en-US" w:eastAsia="en-US" w:bidi="en-US"/>
      </w:rPr>
    </w:lvl>
    <w:lvl w:ilvl="1" w:tplc="6518D700">
      <w:numFmt w:val="bullet"/>
      <w:lvlText w:val="•"/>
      <w:lvlJc w:val="left"/>
      <w:pPr>
        <w:ind w:left="1882" w:hanging="339"/>
      </w:pPr>
      <w:rPr>
        <w:rFonts w:hint="default"/>
        <w:lang w:val="en-US" w:eastAsia="en-US" w:bidi="en-US"/>
      </w:rPr>
    </w:lvl>
    <w:lvl w:ilvl="2" w:tplc="BB3C6D34">
      <w:numFmt w:val="bullet"/>
      <w:lvlText w:val="•"/>
      <w:lvlJc w:val="left"/>
      <w:pPr>
        <w:ind w:left="2664" w:hanging="339"/>
      </w:pPr>
      <w:rPr>
        <w:rFonts w:hint="default"/>
        <w:lang w:val="en-US" w:eastAsia="en-US" w:bidi="en-US"/>
      </w:rPr>
    </w:lvl>
    <w:lvl w:ilvl="3" w:tplc="C3D0AA3E">
      <w:numFmt w:val="bullet"/>
      <w:lvlText w:val="•"/>
      <w:lvlJc w:val="left"/>
      <w:pPr>
        <w:ind w:left="3446" w:hanging="339"/>
      </w:pPr>
      <w:rPr>
        <w:rFonts w:hint="default"/>
        <w:lang w:val="en-US" w:eastAsia="en-US" w:bidi="en-US"/>
      </w:rPr>
    </w:lvl>
    <w:lvl w:ilvl="4" w:tplc="9D22CEE2">
      <w:numFmt w:val="bullet"/>
      <w:lvlText w:val="•"/>
      <w:lvlJc w:val="left"/>
      <w:pPr>
        <w:ind w:left="4228" w:hanging="339"/>
      </w:pPr>
      <w:rPr>
        <w:rFonts w:hint="default"/>
        <w:lang w:val="en-US" w:eastAsia="en-US" w:bidi="en-US"/>
      </w:rPr>
    </w:lvl>
    <w:lvl w:ilvl="5" w:tplc="554007AC">
      <w:numFmt w:val="bullet"/>
      <w:lvlText w:val="•"/>
      <w:lvlJc w:val="left"/>
      <w:pPr>
        <w:ind w:left="5010" w:hanging="339"/>
      </w:pPr>
      <w:rPr>
        <w:rFonts w:hint="default"/>
        <w:lang w:val="en-US" w:eastAsia="en-US" w:bidi="en-US"/>
      </w:rPr>
    </w:lvl>
    <w:lvl w:ilvl="6" w:tplc="CBE84148">
      <w:numFmt w:val="bullet"/>
      <w:lvlText w:val="•"/>
      <w:lvlJc w:val="left"/>
      <w:pPr>
        <w:ind w:left="5792" w:hanging="339"/>
      </w:pPr>
      <w:rPr>
        <w:rFonts w:hint="default"/>
        <w:lang w:val="en-US" w:eastAsia="en-US" w:bidi="en-US"/>
      </w:rPr>
    </w:lvl>
    <w:lvl w:ilvl="7" w:tplc="B83C5DC8">
      <w:numFmt w:val="bullet"/>
      <w:lvlText w:val="•"/>
      <w:lvlJc w:val="left"/>
      <w:pPr>
        <w:ind w:left="6574" w:hanging="339"/>
      </w:pPr>
      <w:rPr>
        <w:rFonts w:hint="default"/>
        <w:lang w:val="en-US" w:eastAsia="en-US" w:bidi="en-US"/>
      </w:rPr>
    </w:lvl>
    <w:lvl w:ilvl="8" w:tplc="5A4204DC">
      <w:numFmt w:val="bullet"/>
      <w:lvlText w:val="•"/>
      <w:lvlJc w:val="left"/>
      <w:pPr>
        <w:ind w:left="7356" w:hanging="339"/>
      </w:pPr>
      <w:rPr>
        <w:rFonts w:hint="default"/>
        <w:lang w:val="en-US" w:eastAsia="en-US" w:bidi="en-US"/>
      </w:rPr>
    </w:lvl>
  </w:abstractNum>
  <w:abstractNum w:abstractNumId="1">
    <w:nsid w:val="1DD82AFF"/>
    <w:multiLevelType w:val="hybridMultilevel"/>
    <w:tmpl w:val="19C2A0B0"/>
    <w:lvl w:ilvl="0" w:tplc="0EBC90C6">
      <w:start w:val="3"/>
      <w:numFmt w:val="decimal"/>
      <w:lvlText w:val="%1."/>
      <w:lvlJc w:val="left"/>
      <w:pPr>
        <w:ind w:left="651" w:hanging="228"/>
      </w:pPr>
      <w:rPr>
        <w:rFonts w:ascii="Times New Roman" w:eastAsia="Times New Roman" w:hAnsi="Times New Roman" w:cs="Times New Roman" w:hint="default"/>
        <w:w w:val="102"/>
        <w:sz w:val="22"/>
        <w:szCs w:val="22"/>
        <w:lang w:val="en-US" w:eastAsia="en-US" w:bidi="en-US"/>
      </w:rPr>
    </w:lvl>
    <w:lvl w:ilvl="1" w:tplc="A264446C">
      <w:numFmt w:val="bullet"/>
      <w:lvlText w:val="•"/>
      <w:lvlJc w:val="left"/>
      <w:pPr>
        <w:ind w:left="1486" w:hanging="228"/>
      </w:pPr>
      <w:rPr>
        <w:rFonts w:hint="default"/>
        <w:lang w:val="en-US" w:eastAsia="en-US" w:bidi="en-US"/>
      </w:rPr>
    </w:lvl>
    <w:lvl w:ilvl="2" w:tplc="3CE6CE60">
      <w:numFmt w:val="bullet"/>
      <w:lvlText w:val="•"/>
      <w:lvlJc w:val="left"/>
      <w:pPr>
        <w:ind w:left="2312" w:hanging="228"/>
      </w:pPr>
      <w:rPr>
        <w:rFonts w:hint="default"/>
        <w:lang w:val="en-US" w:eastAsia="en-US" w:bidi="en-US"/>
      </w:rPr>
    </w:lvl>
    <w:lvl w:ilvl="3" w:tplc="C3761D54">
      <w:numFmt w:val="bullet"/>
      <w:lvlText w:val="•"/>
      <w:lvlJc w:val="left"/>
      <w:pPr>
        <w:ind w:left="3138" w:hanging="228"/>
      </w:pPr>
      <w:rPr>
        <w:rFonts w:hint="default"/>
        <w:lang w:val="en-US" w:eastAsia="en-US" w:bidi="en-US"/>
      </w:rPr>
    </w:lvl>
    <w:lvl w:ilvl="4" w:tplc="731A1044">
      <w:numFmt w:val="bullet"/>
      <w:lvlText w:val="•"/>
      <w:lvlJc w:val="left"/>
      <w:pPr>
        <w:ind w:left="3964" w:hanging="228"/>
      </w:pPr>
      <w:rPr>
        <w:rFonts w:hint="default"/>
        <w:lang w:val="en-US" w:eastAsia="en-US" w:bidi="en-US"/>
      </w:rPr>
    </w:lvl>
    <w:lvl w:ilvl="5" w:tplc="4E0EBD5E">
      <w:numFmt w:val="bullet"/>
      <w:lvlText w:val="•"/>
      <w:lvlJc w:val="left"/>
      <w:pPr>
        <w:ind w:left="4790" w:hanging="228"/>
      </w:pPr>
      <w:rPr>
        <w:rFonts w:hint="default"/>
        <w:lang w:val="en-US" w:eastAsia="en-US" w:bidi="en-US"/>
      </w:rPr>
    </w:lvl>
    <w:lvl w:ilvl="6" w:tplc="38E6366A">
      <w:numFmt w:val="bullet"/>
      <w:lvlText w:val="•"/>
      <w:lvlJc w:val="left"/>
      <w:pPr>
        <w:ind w:left="5616" w:hanging="228"/>
      </w:pPr>
      <w:rPr>
        <w:rFonts w:hint="default"/>
        <w:lang w:val="en-US" w:eastAsia="en-US" w:bidi="en-US"/>
      </w:rPr>
    </w:lvl>
    <w:lvl w:ilvl="7" w:tplc="C9987550">
      <w:numFmt w:val="bullet"/>
      <w:lvlText w:val="•"/>
      <w:lvlJc w:val="left"/>
      <w:pPr>
        <w:ind w:left="6442" w:hanging="228"/>
      </w:pPr>
      <w:rPr>
        <w:rFonts w:hint="default"/>
        <w:lang w:val="en-US" w:eastAsia="en-US" w:bidi="en-US"/>
      </w:rPr>
    </w:lvl>
    <w:lvl w:ilvl="8" w:tplc="EC588F4E">
      <w:numFmt w:val="bullet"/>
      <w:lvlText w:val="•"/>
      <w:lvlJc w:val="left"/>
      <w:pPr>
        <w:ind w:left="7268" w:hanging="228"/>
      </w:pPr>
      <w:rPr>
        <w:rFonts w:hint="default"/>
        <w:lang w:val="en-US" w:eastAsia="en-US" w:bidi="en-US"/>
      </w:rPr>
    </w:lvl>
  </w:abstractNum>
  <w:abstractNum w:abstractNumId="2">
    <w:nsid w:val="34572CAC"/>
    <w:multiLevelType w:val="hybridMultilevel"/>
    <w:tmpl w:val="01FA10E6"/>
    <w:lvl w:ilvl="0" w:tplc="B3266950">
      <w:start w:val="1"/>
      <w:numFmt w:val="lowerLetter"/>
      <w:lvlText w:val="(%1)"/>
      <w:lvlJc w:val="left"/>
      <w:pPr>
        <w:ind w:left="761" w:hanging="339"/>
      </w:pPr>
      <w:rPr>
        <w:rFonts w:ascii="Times New Roman" w:eastAsia="Times New Roman" w:hAnsi="Times New Roman" w:cs="Times New Roman" w:hint="default"/>
        <w:b/>
        <w:bCs/>
        <w:spacing w:val="-1"/>
        <w:w w:val="102"/>
        <w:sz w:val="22"/>
        <w:szCs w:val="22"/>
        <w:lang w:val="en-US" w:eastAsia="en-US" w:bidi="en-US"/>
      </w:rPr>
    </w:lvl>
    <w:lvl w:ilvl="1" w:tplc="AF8E7590">
      <w:numFmt w:val="bullet"/>
      <w:lvlText w:val="•"/>
      <w:lvlJc w:val="left"/>
      <w:pPr>
        <w:ind w:left="1576" w:hanging="339"/>
      </w:pPr>
      <w:rPr>
        <w:rFonts w:hint="default"/>
        <w:lang w:val="en-US" w:eastAsia="en-US" w:bidi="en-US"/>
      </w:rPr>
    </w:lvl>
    <w:lvl w:ilvl="2" w:tplc="83CC9C0A">
      <w:numFmt w:val="bullet"/>
      <w:lvlText w:val="•"/>
      <w:lvlJc w:val="left"/>
      <w:pPr>
        <w:ind w:left="2392" w:hanging="339"/>
      </w:pPr>
      <w:rPr>
        <w:rFonts w:hint="default"/>
        <w:lang w:val="en-US" w:eastAsia="en-US" w:bidi="en-US"/>
      </w:rPr>
    </w:lvl>
    <w:lvl w:ilvl="3" w:tplc="A3CE878A">
      <w:numFmt w:val="bullet"/>
      <w:lvlText w:val="•"/>
      <w:lvlJc w:val="left"/>
      <w:pPr>
        <w:ind w:left="3208" w:hanging="339"/>
      </w:pPr>
      <w:rPr>
        <w:rFonts w:hint="default"/>
        <w:lang w:val="en-US" w:eastAsia="en-US" w:bidi="en-US"/>
      </w:rPr>
    </w:lvl>
    <w:lvl w:ilvl="4" w:tplc="5AFE2424">
      <w:numFmt w:val="bullet"/>
      <w:lvlText w:val="•"/>
      <w:lvlJc w:val="left"/>
      <w:pPr>
        <w:ind w:left="4024" w:hanging="339"/>
      </w:pPr>
      <w:rPr>
        <w:rFonts w:hint="default"/>
        <w:lang w:val="en-US" w:eastAsia="en-US" w:bidi="en-US"/>
      </w:rPr>
    </w:lvl>
    <w:lvl w:ilvl="5" w:tplc="DD326124">
      <w:numFmt w:val="bullet"/>
      <w:lvlText w:val="•"/>
      <w:lvlJc w:val="left"/>
      <w:pPr>
        <w:ind w:left="4840" w:hanging="339"/>
      </w:pPr>
      <w:rPr>
        <w:rFonts w:hint="default"/>
        <w:lang w:val="en-US" w:eastAsia="en-US" w:bidi="en-US"/>
      </w:rPr>
    </w:lvl>
    <w:lvl w:ilvl="6" w:tplc="0868F93C">
      <w:numFmt w:val="bullet"/>
      <w:lvlText w:val="•"/>
      <w:lvlJc w:val="left"/>
      <w:pPr>
        <w:ind w:left="5656" w:hanging="339"/>
      </w:pPr>
      <w:rPr>
        <w:rFonts w:hint="default"/>
        <w:lang w:val="en-US" w:eastAsia="en-US" w:bidi="en-US"/>
      </w:rPr>
    </w:lvl>
    <w:lvl w:ilvl="7" w:tplc="1AB63C40">
      <w:numFmt w:val="bullet"/>
      <w:lvlText w:val="•"/>
      <w:lvlJc w:val="left"/>
      <w:pPr>
        <w:ind w:left="6472" w:hanging="339"/>
      </w:pPr>
      <w:rPr>
        <w:rFonts w:hint="default"/>
        <w:lang w:val="en-US" w:eastAsia="en-US" w:bidi="en-US"/>
      </w:rPr>
    </w:lvl>
    <w:lvl w:ilvl="8" w:tplc="B0FAF08C">
      <w:numFmt w:val="bullet"/>
      <w:lvlText w:val="•"/>
      <w:lvlJc w:val="left"/>
      <w:pPr>
        <w:ind w:left="7288" w:hanging="339"/>
      </w:pPr>
      <w:rPr>
        <w:rFonts w:hint="default"/>
        <w:lang w:val="en-US" w:eastAsia="en-US" w:bidi="en-US"/>
      </w:rPr>
    </w:lvl>
  </w:abstractNum>
  <w:abstractNum w:abstractNumId="3">
    <w:nsid w:val="4D045558"/>
    <w:multiLevelType w:val="hybridMultilevel"/>
    <w:tmpl w:val="AAEA51C8"/>
    <w:lvl w:ilvl="0" w:tplc="B81EE48E">
      <w:start w:val="1"/>
      <w:numFmt w:val="lowerLetter"/>
      <w:lvlText w:val="(%1)"/>
      <w:lvlJc w:val="left"/>
      <w:pPr>
        <w:ind w:left="742" w:hanging="320"/>
      </w:pPr>
      <w:rPr>
        <w:rFonts w:ascii="Times New Roman" w:eastAsia="Times New Roman" w:hAnsi="Times New Roman" w:cs="Times New Roman" w:hint="default"/>
        <w:b/>
        <w:bCs/>
        <w:spacing w:val="-1"/>
        <w:w w:val="102"/>
        <w:sz w:val="22"/>
        <w:szCs w:val="22"/>
        <w:lang w:val="en-US" w:eastAsia="en-US" w:bidi="en-US"/>
      </w:rPr>
    </w:lvl>
    <w:lvl w:ilvl="1" w:tplc="DA406D88">
      <w:numFmt w:val="bullet"/>
      <w:lvlText w:val="•"/>
      <w:lvlJc w:val="left"/>
      <w:pPr>
        <w:ind w:left="1558" w:hanging="320"/>
      </w:pPr>
      <w:rPr>
        <w:rFonts w:hint="default"/>
        <w:lang w:val="en-US" w:eastAsia="en-US" w:bidi="en-US"/>
      </w:rPr>
    </w:lvl>
    <w:lvl w:ilvl="2" w:tplc="7C2E6F9A">
      <w:numFmt w:val="bullet"/>
      <w:lvlText w:val="•"/>
      <w:lvlJc w:val="left"/>
      <w:pPr>
        <w:ind w:left="2376" w:hanging="320"/>
      </w:pPr>
      <w:rPr>
        <w:rFonts w:hint="default"/>
        <w:lang w:val="en-US" w:eastAsia="en-US" w:bidi="en-US"/>
      </w:rPr>
    </w:lvl>
    <w:lvl w:ilvl="3" w:tplc="FBC424DE">
      <w:numFmt w:val="bullet"/>
      <w:lvlText w:val="•"/>
      <w:lvlJc w:val="left"/>
      <w:pPr>
        <w:ind w:left="3194" w:hanging="320"/>
      </w:pPr>
      <w:rPr>
        <w:rFonts w:hint="default"/>
        <w:lang w:val="en-US" w:eastAsia="en-US" w:bidi="en-US"/>
      </w:rPr>
    </w:lvl>
    <w:lvl w:ilvl="4" w:tplc="B310F8C8">
      <w:numFmt w:val="bullet"/>
      <w:lvlText w:val="•"/>
      <w:lvlJc w:val="left"/>
      <w:pPr>
        <w:ind w:left="4012" w:hanging="320"/>
      </w:pPr>
      <w:rPr>
        <w:rFonts w:hint="default"/>
        <w:lang w:val="en-US" w:eastAsia="en-US" w:bidi="en-US"/>
      </w:rPr>
    </w:lvl>
    <w:lvl w:ilvl="5" w:tplc="CD62C208">
      <w:numFmt w:val="bullet"/>
      <w:lvlText w:val="•"/>
      <w:lvlJc w:val="left"/>
      <w:pPr>
        <w:ind w:left="4830" w:hanging="320"/>
      </w:pPr>
      <w:rPr>
        <w:rFonts w:hint="default"/>
        <w:lang w:val="en-US" w:eastAsia="en-US" w:bidi="en-US"/>
      </w:rPr>
    </w:lvl>
    <w:lvl w:ilvl="6" w:tplc="4500889C">
      <w:numFmt w:val="bullet"/>
      <w:lvlText w:val="•"/>
      <w:lvlJc w:val="left"/>
      <w:pPr>
        <w:ind w:left="5648" w:hanging="320"/>
      </w:pPr>
      <w:rPr>
        <w:rFonts w:hint="default"/>
        <w:lang w:val="en-US" w:eastAsia="en-US" w:bidi="en-US"/>
      </w:rPr>
    </w:lvl>
    <w:lvl w:ilvl="7" w:tplc="66B6EE3E">
      <w:numFmt w:val="bullet"/>
      <w:lvlText w:val="•"/>
      <w:lvlJc w:val="left"/>
      <w:pPr>
        <w:ind w:left="6466" w:hanging="320"/>
      </w:pPr>
      <w:rPr>
        <w:rFonts w:hint="default"/>
        <w:lang w:val="en-US" w:eastAsia="en-US" w:bidi="en-US"/>
      </w:rPr>
    </w:lvl>
    <w:lvl w:ilvl="8" w:tplc="843EAEDA">
      <w:numFmt w:val="bullet"/>
      <w:lvlText w:val="•"/>
      <w:lvlJc w:val="left"/>
      <w:pPr>
        <w:ind w:left="7284" w:hanging="320"/>
      </w:pPr>
      <w:rPr>
        <w:rFonts w:hint="default"/>
        <w:lang w:val="en-US" w:eastAsia="en-US" w:bidi="en-US"/>
      </w:rPr>
    </w:lvl>
  </w:abstractNum>
  <w:abstractNum w:abstractNumId="4">
    <w:nsid w:val="554A3E86"/>
    <w:multiLevelType w:val="hybridMultilevel"/>
    <w:tmpl w:val="968E635E"/>
    <w:lvl w:ilvl="0" w:tplc="8B62BF52">
      <w:start w:val="1"/>
      <w:numFmt w:val="lowerLetter"/>
      <w:lvlText w:val="(%1)"/>
      <w:lvlJc w:val="left"/>
      <w:pPr>
        <w:ind w:left="1438" w:hanging="677"/>
      </w:pPr>
      <w:rPr>
        <w:rFonts w:ascii="Times New Roman" w:eastAsia="Times New Roman" w:hAnsi="Times New Roman" w:cs="Times New Roman" w:hint="default"/>
        <w:spacing w:val="-1"/>
        <w:w w:val="102"/>
        <w:sz w:val="22"/>
        <w:szCs w:val="22"/>
        <w:lang w:val="en-US" w:eastAsia="en-US" w:bidi="en-US"/>
      </w:rPr>
    </w:lvl>
    <w:lvl w:ilvl="1" w:tplc="52DC3D04">
      <w:numFmt w:val="bullet"/>
      <w:lvlText w:val="•"/>
      <w:lvlJc w:val="left"/>
      <w:pPr>
        <w:ind w:left="2188" w:hanging="677"/>
      </w:pPr>
      <w:rPr>
        <w:rFonts w:hint="default"/>
        <w:lang w:val="en-US" w:eastAsia="en-US" w:bidi="en-US"/>
      </w:rPr>
    </w:lvl>
    <w:lvl w:ilvl="2" w:tplc="39746170">
      <w:numFmt w:val="bullet"/>
      <w:lvlText w:val="•"/>
      <w:lvlJc w:val="left"/>
      <w:pPr>
        <w:ind w:left="2936" w:hanging="677"/>
      </w:pPr>
      <w:rPr>
        <w:rFonts w:hint="default"/>
        <w:lang w:val="en-US" w:eastAsia="en-US" w:bidi="en-US"/>
      </w:rPr>
    </w:lvl>
    <w:lvl w:ilvl="3" w:tplc="7A58E89A">
      <w:numFmt w:val="bullet"/>
      <w:lvlText w:val="•"/>
      <w:lvlJc w:val="left"/>
      <w:pPr>
        <w:ind w:left="3684" w:hanging="677"/>
      </w:pPr>
      <w:rPr>
        <w:rFonts w:hint="default"/>
        <w:lang w:val="en-US" w:eastAsia="en-US" w:bidi="en-US"/>
      </w:rPr>
    </w:lvl>
    <w:lvl w:ilvl="4" w:tplc="16809292">
      <w:numFmt w:val="bullet"/>
      <w:lvlText w:val="•"/>
      <w:lvlJc w:val="left"/>
      <w:pPr>
        <w:ind w:left="4432" w:hanging="677"/>
      </w:pPr>
      <w:rPr>
        <w:rFonts w:hint="default"/>
        <w:lang w:val="en-US" w:eastAsia="en-US" w:bidi="en-US"/>
      </w:rPr>
    </w:lvl>
    <w:lvl w:ilvl="5" w:tplc="6E949422">
      <w:numFmt w:val="bullet"/>
      <w:lvlText w:val="•"/>
      <w:lvlJc w:val="left"/>
      <w:pPr>
        <w:ind w:left="5180" w:hanging="677"/>
      </w:pPr>
      <w:rPr>
        <w:rFonts w:hint="default"/>
        <w:lang w:val="en-US" w:eastAsia="en-US" w:bidi="en-US"/>
      </w:rPr>
    </w:lvl>
    <w:lvl w:ilvl="6" w:tplc="7AE64F74">
      <w:numFmt w:val="bullet"/>
      <w:lvlText w:val="•"/>
      <w:lvlJc w:val="left"/>
      <w:pPr>
        <w:ind w:left="5928" w:hanging="677"/>
      </w:pPr>
      <w:rPr>
        <w:rFonts w:hint="default"/>
        <w:lang w:val="en-US" w:eastAsia="en-US" w:bidi="en-US"/>
      </w:rPr>
    </w:lvl>
    <w:lvl w:ilvl="7" w:tplc="8D52F70A">
      <w:numFmt w:val="bullet"/>
      <w:lvlText w:val="•"/>
      <w:lvlJc w:val="left"/>
      <w:pPr>
        <w:ind w:left="6676" w:hanging="677"/>
      </w:pPr>
      <w:rPr>
        <w:rFonts w:hint="default"/>
        <w:lang w:val="en-US" w:eastAsia="en-US" w:bidi="en-US"/>
      </w:rPr>
    </w:lvl>
    <w:lvl w:ilvl="8" w:tplc="D9EE3842">
      <w:numFmt w:val="bullet"/>
      <w:lvlText w:val="•"/>
      <w:lvlJc w:val="left"/>
      <w:pPr>
        <w:ind w:left="7424" w:hanging="677"/>
      </w:pPr>
      <w:rPr>
        <w:rFonts w:hint="default"/>
        <w:lang w:val="en-US" w:eastAsia="en-US" w:bidi="en-US"/>
      </w:rPr>
    </w:lvl>
  </w:abstractNum>
  <w:abstractNum w:abstractNumId="5">
    <w:nsid w:val="5E6229F3"/>
    <w:multiLevelType w:val="hybridMultilevel"/>
    <w:tmpl w:val="0A76ADA6"/>
    <w:lvl w:ilvl="0" w:tplc="4002EADA">
      <w:start w:val="2"/>
      <w:numFmt w:val="decimal"/>
      <w:lvlText w:val="%1"/>
      <w:lvlJc w:val="left"/>
      <w:pPr>
        <w:ind w:left="874" w:hanging="452"/>
      </w:pPr>
      <w:rPr>
        <w:rFonts w:hint="default"/>
        <w:lang w:val="en-US" w:eastAsia="en-US" w:bidi="en-US"/>
      </w:rPr>
    </w:lvl>
    <w:lvl w:ilvl="1" w:tplc="72A818FE">
      <w:numFmt w:val="none"/>
      <w:lvlText w:val=""/>
      <w:lvlJc w:val="left"/>
      <w:pPr>
        <w:tabs>
          <w:tab w:val="num" w:pos="360"/>
        </w:tabs>
      </w:pPr>
    </w:lvl>
    <w:lvl w:ilvl="2" w:tplc="42D8E768">
      <w:numFmt w:val="none"/>
      <w:lvlText w:val=""/>
      <w:lvlJc w:val="left"/>
      <w:pPr>
        <w:tabs>
          <w:tab w:val="num" w:pos="360"/>
        </w:tabs>
      </w:pPr>
    </w:lvl>
    <w:lvl w:ilvl="3" w:tplc="0C8824DE">
      <w:start w:val="1"/>
      <w:numFmt w:val="lowerLetter"/>
      <w:lvlText w:val="(%4)"/>
      <w:lvlJc w:val="left"/>
      <w:pPr>
        <w:ind w:left="1100" w:hanging="339"/>
      </w:pPr>
      <w:rPr>
        <w:rFonts w:ascii="Times New Roman" w:eastAsia="Times New Roman" w:hAnsi="Times New Roman" w:cs="Times New Roman" w:hint="default"/>
        <w:spacing w:val="-1"/>
        <w:w w:val="102"/>
        <w:sz w:val="22"/>
        <w:szCs w:val="22"/>
        <w:lang w:val="en-US" w:eastAsia="en-US" w:bidi="en-US"/>
      </w:rPr>
    </w:lvl>
    <w:lvl w:ilvl="4" w:tplc="A50EA1D0">
      <w:numFmt w:val="bullet"/>
      <w:lvlText w:val="•"/>
      <w:lvlJc w:val="left"/>
      <w:pPr>
        <w:ind w:left="3055" w:hanging="339"/>
      </w:pPr>
      <w:rPr>
        <w:rFonts w:hint="default"/>
        <w:lang w:val="en-US" w:eastAsia="en-US" w:bidi="en-US"/>
      </w:rPr>
    </w:lvl>
    <w:lvl w:ilvl="5" w:tplc="445036DA">
      <w:numFmt w:val="bullet"/>
      <w:lvlText w:val="•"/>
      <w:lvlJc w:val="left"/>
      <w:pPr>
        <w:ind w:left="4032" w:hanging="339"/>
      </w:pPr>
      <w:rPr>
        <w:rFonts w:hint="default"/>
        <w:lang w:val="en-US" w:eastAsia="en-US" w:bidi="en-US"/>
      </w:rPr>
    </w:lvl>
    <w:lvl w:ilvl="6" w:tplc="94040634">
      <w:numFmt w:val="bullet"/>
      <w:lvlText w:val="•"/>
      <w:lvlJc w:val="left"/>
      <w:pPr>
        <w:ind w:left="5010" w:hanging="339"/>
      </w:pPr>
      <w:rPr>
        <w:rFonts w:hint="default"/>
        <w:lang w:val="en-US" w:eastAsia="en-US" w:bidi="en-US"/>
      </w:rPr>
    </w:lvl>
    <w:lvl w:ilvl="7" w:tplc="6DD604BC">
      <w:numFmt w:val="bullet"/>
      <w:lvlText w:val="•"/>
      <w:lvlJc w:val="left"/>
      <w:pPr>
        <w:ind w:left="5987" w:hanging="339"/>
      </w:pPr>
      <w:rPr>
        <w:rFonts w:hint="default"/>
        <w:lang w:val="en-US" w:eastAsia="en-US" w:bidi="en-US"/>
      </w:rPr>
    </w:lvl>
    <w:lvl w:ilvl="8" w:tplc="11CAB38A">
      <w:numFmt w:val="bullet"/>
      <w:lvlText w:val="•"/>
      <w:lvlJc w:val="left"/>
      <w:pPr>
        <w:ind w:left="6965" w:hanging="339"/>
      </w:pPr>
      <w:rPr>
        <w:rFonts w:hint="default"/>
        <w:lang w:val="en-US" w:eastAsia="en-US" w:bidi="en-US"/>
      </w:rPr>
    </w:lvl>
  </w:abstractNum>
  <w:abstractNum w:abstractNumId="6">
    <w:nsid w:val="772F0D13"/>
    <w:multiLevelType w:val="hybridMultilevel"/>
    <w:tmpl w:val="65CEEF20"/>
    <w:lvl w:ilvl="0" w:tplc="5FACE288">
      <w:start w:val="2"/>
      <w:numFmt w:val="decimal"/>
      <w:lvlText w:val="%1"/>
      <w:lvlJc w:val="left"/>
      <w:pPr>
        <w:ind w:left="761" w:hanging="339"/>
      </w:pPr>
      <w:rPr>
        <w:rFonts w:hint="default"/>
        <w:lang w:val="en-US" w:eastAsia="en-US" w:bidi="en-US"/>
      </w:rPr>
    </w:lvl>
    <w:lvl w:ilvl="1" w:tplc="1F9E4596">
      <w:numFmt w:val="none"/>
      <w:lvlText w:val=""/>
      <w:lvlJc w:val="left"/>
      <w:pPr>
        <w:tabs>
          <w:tab w:val="num" w:pos="360"/>
        </w:tabs>
      </w:pPr>
    </w:lvl>
    <w:lvl w:ilvl="2" w:tplc="DD4A1C92">
      <w:numFmt w:val="bullet"/>
      <w:lvlText w:val="•"/>
      <w:lvlJc w:val="left"/>
      <w:pPr>
        <w:ind w:left="2392" w:hanging="339"/>
      </w:pPr>
      <w:rPr>
        <w:rFonts w:hint="default"/>
        <w:lang w:val="en-US" w:eastAsia="en-US" w:bidi="en-US"/>
      </w:rPr>
    </w:lvl>
    <w:lvl w:ilvl="3" w:tplc="943676D4">
      <w:numFmt w:val="bullet"/>
      <w:lvlText w:val="•"/>
      <w:lvlJc w:val="left"/>
      <w:pPr>
        <w:ind w:left="3208" w:hanging="339"/>
      </w:pPr>
      <w:rPr>
        <w:rFonts w:hint="default"/>
        <w:lang w:val="en-US" w:eastAsia="en-US" w:bidi="en-US"/>
      </w:rPr>
    </w:lvl>
    <w:lvl w:ilvl="4" w:tplc="4732B370">
      <w:numFmt w:val="bullet"/>
      <w:lvlText w:val="•"/>
      <w:lvlJc w:val="left"/>
      <w:pPr>
        <w:ind w:left="4024" w:hanging="339"/>
      </w:pPr>
      <w:rPr>
        <w:rFonts w:hint="default"/>
        <w:lang w:val="en-US" w:eastAsia="en-US" w:bidi="en-US"/>
      </w:rPr>
    </w:lvl>
    <w:lvl w:ilvl="5" w:tplc="85881BB6">
      <w:numFmt w:val="bullet"/>
      <w:lvlText w:val="•"/>
      <w:lvlJc w:val="left"/>
      <w:pPr>
        <w:ind w:left="4840" w:hanging="339"/>
      </w:pPr>
      <w:rPr>
        <w:rFonts w:hint="default"/>
        <w:lang w:val="en-US" w:eastAsia="en-US" w:bidi="en-US"/>
      </w:rPr>
    </w:lvl>
    <w:lvl w:ilvl="6" w:tplc="94FCEFE6">
      <w:numFmt w:val="bullet"/>
      <w:lvlText w:val="•"/>
      <w:lvlJc w:val="left"/>
      <w:pPr>
        <w:ind w:left="5656" w:hanging="339"/>
      </w:pPr>
      <w:rPr>
        <w:rFonts w:hint="default"/>
        <w:lang w:val="en-US" w:eastAsia="en-US" w:bidi="en-US"/>
      </w:rPr>
    </w:lvl>
    <w:lvl w:ilvl="7" w:tplc="FE0CD3B6">
      <w:numFmt w:val="bullet"/>
      <w:lvlText w:val="•"/>
      <w:lvlJc w:val="left"/>
      <w:pPr>
        <w:ind w:left="6472" w:hanging="339"/>
      </w:pPr>
      <w:rPr>
        <w:rFonts w:hint="default"/>
        <w:lang w:val="en-US" w:eastAsia="en-US" w:bidi="en-US"/>
      </w:rPr>
    </w:lvl>
    <w:lvl w:ilvl="8" w:tplc="706094B0">
      <w:numFmt w:val="bullet"/>
      <w:lvlText w:val="•"/>
      <w:lvlJc w:val="left"/>
      <w:pPr>
        <w:ind w:left="7288" w:hanging="339"/>
      </w:pPr>
      <w:rPr>
        <w:rFonts w:hint="default"/>
        <w:lang w:val="en-US" w:eastAsia="en-US" w:bidi="en-US"/>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D2338F"/>
    <w:rsid w:val="000463FD"/>
    <w:rsid w:val="000C6B92"/>
    <w:rsid w:val="005E5379"/>
    <w:rsid w:val="00B53C21"/>
    <w:rsid w:val="00D2338F"/>
    <w:rsid w:val="00D43C9A"/>
    <w:rsid w:val="00E80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38F"/>
    <w:rPr>
      <w:rFonts w:ascii="Times New Roman" w:eastAsia="Times New Roman" w:hAnsi="Times New Roman" w:cs="Times New Roman"/>
      <w:lang w:bidi="en-US"/>
    </w:rPr>
  </w:style>
  <w:style w:type="paragraph" w:styleId="Heading1">
    <w:name w:val="heading 1"/>
    <w:basedOn w:val="Normal"/>
    <w:uiPriority w:val="1"/>
    <w:qFormat/>
    <w:rsid w:val="00D2338F"/>
    <w:pPr>
      <w:ind w:left="874" w:hanging="452"/>
      <w:outlineLvl w:val="0"/>
    </w:pPr>
    <w:rPr>
      <w:b/>
      <w:bCs/>
      <w:i/>
      <w:sz w:val="30"/>
      <w:szCs w:val="30"/>
    </w:rPr>
  </w:style>
  <w:style w:type="paragraph" w:styleId="Heading2">
    <w:name w:val="heading 2"/>
    <w:basedOn w:val="Normal"/>
    <w:uiPriority w:val="1"/>
    <w:qFormat/>
    <w:rsid w:val="00D2338F"/>
    <w:pPr>
      <w:ind w:left="975" w:hanging="553"/>
      <w:outlineLvl w:val="1"/>
    </w:pPr>
    <w:rPr>
      <w:b/>
      <w:bCs/>
      <w:sz w:val="24"/>
      <w:szCs w:val="24"/>
    </w:rPr>
  </w:style>
  <w:style w:type="paragraph" w:styleId="Heading3">
    <w:name w:val="heading 3"/>
    <w:basedOn w:val="Normal"/>
    <w:uiPriority w:val="1"/>
    <w:qFormat/>
    <w:rsid w:val="00D2338F"/>
    <w:pPr>
      <w:ind w:left="4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38F"/>
  </w:style>
  <w:style w:type="paragraph" w:styleId="ListParagraph">
    <w:name w:val="List Paragraph"/>
    <w:basedOn w:val="Normal"/>
    <w:uiPriority w:val="1"/>
    <w:qFormat/>
    <w:rsid w:val="00D2338F"/>
    <w:pPr>
      <w:ind w:left="761" w:hanging="339"/>
    </w:pPr>
  </w:style>
  <w:style w:type="paragraph" w:customStyle="1" w:styleId="TableParagraph">
    <w:name w:val="Table Paragraph"/>
    <w:basedOn w:val="Normal"/>
    <w:uiPriority w:val="1"/>
    <w:qFormat/>
    <w:rsid w:val="00D2338F"/>
  </w:style>
  <w:style w:type="paragraph" w:styleId="Header">
    <w:name w:val="header"/>
    <w:basedOn w:val="Normal"/>
    <w:link w:val="HeaderChar"/>
    <w:uiPriority w:val="99"/>
    <w:semiHidden/>
    <w:unhideWhenUsed/>
    <w:rsid w:val="00B53C21"/>
    <w:pPr>
      <w:tabs>
        <w:tab w:val="center" w:pos="4680"/>
        <w:tab w:val="right" w:pos="9360"/>
      </w:tabs>
    </w:pPr>
  </w:style>
  <w:style w:type="character" w:customStyle="1" w:styleId="HeaderChar">
    <w:name w:val="Header Char"/>
    <w:basedOn w:val="DefaultParagraphFont"/>
    <w:link w:val="Header"/>
    <w:uiPriority w:val="99"/>
    <w:semiHidden/>
    <w:rsid w:val="00B53C21"/>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B53C21"/>
    <w:pPr>
      <w:tabs>
        <w:tab w:val="center" w:pos="4680"/>
        <w:tab w:val="right" w:pos="9360"/>
      </w:tabs>
    </w:pPr>
  </w:style>
  <w:style w:type="character" w:customStyle="1" w:styleId="FooterChar">
    <w:name w:val="Footer Char"/>
    <w:basedOn w:val="DefaultParagraphFont"/>
    <w:link w:val="Footer"/>
    <w:uiPriority w:val="99"/>
    <w:semiHidden/>
    <w:rsid w:val="00B53C21"/>
    <w:rPr>
      <w:rFonts w:ascii="Times New Roman" w:eastAsia="Times New Roman" w:hAnsi="Times New Roman" w:cs="Times New Roman"/>
      <w:lang w:bidi="en-US"/>
    </w:rPr>
  </w:style>
  <w:style w:type="paragraph" w:customStyle="1" w:styleId="Default">
    <w:name w:val="Default"/>
    <w:rsid w:val="00B53C21"/>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53C21"/>
    <w:rPr>
      <w:rFonts w:ascii="Tahoma" w:hAnsi="Tahoma" w:cs="Tahoma"/>
      <w:sz w:val="16"/>
      <w:szCs w:val="16"/>
    </w:rPr>
  </w:style>
  <w:style w:type="character" w:customStyle="1" w:styleId="BalloonTextChar">
    <w:name w:val="Balloon Text Char"/>
    <w:basedOn w:val="DefaultParagraphFont"/>
    <w:link w:val="BalloonText"/>
    <w:uiPriority w:val="99"/>
    <w:semiHidden/>
    <w:rsid w:val="00B53C21"/>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4</cp:revision>
  <dcterms:created xsi:type="dcterms:W3CDTF">2020-09-27T01:44:00Z</dcterms:created>
  <dcterms:modified xsi:type="dcterms:W3CDTF">2020-09-27T02:26:00Z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LastSaved">
    <vt:filetime>2020-09-27T00:00:00Z</vt:filetime>
  </property>
</Properties>
</file>