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D23" w:rsidRPr="00617F15" w:rsidRDefault="00DF6D23" w:rsidP="00DF6D23">
      <w:pPr>
        <w:pStyle w:val="Default"/>
        <w:ind w:left="720" w:hanging="720"/>
        <w:jc w:val="center"/>
        <w:rPr>
          <w:b/>
          <w:sz w:val="52"/>
          <w:szCs w:val="52"/>
        </w:rPr>
      </w:pPr>
      <w:r>
        <w:rPr>
          <w:b/>
          <w:sz w:val="52"/>
          <w:szCs w:val="52"/>
        </w:rPr>
        <w:t xml:space="preserve">TDC Part </w:t>
      </w:r>
      <w:r w:rsidRPr="00617F15">
        <w:rPr>
          <w:b/>
          <w:sz w:val="52"/>
          <w:szCs w:val="52"/>
        </w:rPr>
        <w:t>I</w:t>
      </w:r>
      <w:r>
        <w:rPr>
          <w:b/>
          <w:sz w:val="52"/>
          <w:szCs w:val="52"/>
        </w:rPr>
        <w:t>I</w:t>
      </w:r>
    </w:p>
    <w:p w:rsidR="00DF6D23" w:rsidRDefault="00DF6D23" w:rsidP="00DF6D23">
      <w:pPr>
        <w:pStyle w:val="Default"/>
        <w:jc w:val="center"/>
        <w:rPr>
          <w:b/>
          <w:sz w:val="52"/>
          <w:szCs w:val="52"/>
        </w:rPr>
      </w:pPr>
      <w:r>
        <w:rPr>
          <w:b/>
          <w:sz w:val="52"/>
          <w:szCs w:val="52"/>
        </w:rPr>
        <w:t>Paper I, Group B</w:t>
      </w:r>
    </w:p>
    <w:p w:rsidR="00DF6D23" w:rsidRPr="00617F15" w:rsidRDefault="00DF6D23" w:rsidP="00DF6D23">
      <w:pPr>
        <w:pStyle w:val="Default"/>
        <w:jc w:val="center"/>
        <w:rPr>
          <w:b/>
          <w:sz w:val="52"/>
          <w:szCs w:val="52"/>
        </w:rPr>
      </w:pPr>
      <w:r>
        <w:rPr>
          <w:b/>
          <w:sz w:val="52"/>
          <w:szCs w:val="52"/>
        </w:rPr>
        <w:t>Inorganic</w:t>
      </w:r>
      <w:r w:rsidRPr="00617F15">
        <w:rPr>
          <w:b/>
          <w:sz w:val="52"/>
          <w:szCs w:val="52"/>
        </w:rPr>
        <w:t xml:space="preserve"> Chemistry</w:t>
      </w:r>
    </w:p>
    <w:p w:rsidR="00DF6D23" w:rsidRDefault="00DF6D23" w:rsidP="00DF6D23">
      <w:pPr>
        <w:pStyle w:val="Default"/>
        <w:rPr>
          <w:rFonts w:ascii="Arial Black" w:hAnsi="Arial Black"/>
        </w:rPr>
      </w:pPr>
    </w:p>
    <w:p w:rsidR="00DF6D23" w:rsidRDefault="00DF6D23" w:rsidP="00DF6D23">
      <w:pPr>
        <w:pStyle w:val="Default"/>
        <w:jc w:val="center"/>
        <w:rPr>
          <w:rFonts w:ascii="Arial Black" w:hAnsi="Arial Black"/>
        </w:rPr>
      </w:pPr>
      <w:r>
        <w:rPr>
          <w:noProof/>
        </w:rPr>
        <w:drawing>
          <wp:inline distT="0" distB="0" distL="0" distR="0">
            <wp:extent cx="2158365" cy="2094865"/>
            <wp:effectExtent l="19050" t="0" r="0" b="0"/>
            <wp:docPr id="2" name="Picture 4"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 photo description available."/>
                    <pic:cNvPicPr>
                      <a:picLocks noChangeAspect="1" noChangeArrowheads="1"/>
                    </pic:cNvPicPr>
                  </pic:nvPicPr>
                  <pic:blipFill>
                    <a:blip r:embed="rId7"/>
                    <a:srcRect/>
                    <a:stretch>
                      <a:fillRect/>
                    </a:stretch>
                  </pic:blipFill>
                  <pic:spPr bwMode="auto">
                    <a:xfrm>
                      <a:off x="0" y="0"/>
                      <a:ext cx="2158365" cy="2094865"/>
                    </a:xfrm>
                    <a:prstGeom prst="rect">
                      <a:avLst/>
                    </a:prstGeom>
                    <a:noFill/>
                    <a:ln w="9525">
                      <a:noFill/>
                      <a:miter lim="800000"/>
                      <a:headEnd/>
                      <a:tailEnd/>
                    </a:ln>
                  </pic:spPr>
                </pic:pic>
              </a:graphicData>
            </a:graphic>
          </wp:inline>
        </w:drawing>
      </w:r>
    </w:p>
    <w:p w:rsidR="00DF6D23" w:rsidRDefault="00DF6D23" w:rsidP="00DF6D23">
      <w:pPr>
        <w:pStyle w:val="Default"/>
        <w:rPr>
          <w:rFonts w:ascii="Arial Black" w:hAnsi="Arial Black"/>
        </w:rPr>
      </w:pPr>
    </w:p>
    <w:p w:rsidR="00DF6D23" w:rsidRPr="00617F15" w:rsidRDefault="00DF6D23" w:rsidP="00DF6D23">
      <w:pPr>
        <w:pStyle w:val="Default"/>
        <w:spacing w:after="120"/>
        <w:jc w:val="center"/>
        <w:rPr>
          <w:sz w:val="52"/>
          <w:szCs w:val="52"/>
        </w:rPr>
      </w:pPr>
      <w:r w:rsidRPr="00617F15">
        <w:rPr>
          <w:b/>
          <w:bCs/>
          <w:sz w:val="52"/>
          <w:szCs w:val="52"/>
        </w:rPr>
        <w:t>Department of Chemistry</w:t>
      </w:r>
    </w:p>
    <w:p w:rsidR="00DF6D23" w:rsidRPr="00157F46" w:rsidRDefault="00DF6D23" w:rsidP="00DF6D23">
      <w:pPr>
        <w:pStyle w:val="Default"/>
        <w:rPr>
          <w:rFonts w:ascii="Arial Black" w:hAnsi="Arial Black"/>
        </w:rPr>
      </w:pPr>
    </w:p>
    <w:p w:rsidR="00DF6D23" w:rsidRPr="00617F15" w:rsidRDefault="00DF6D23" w:rsidP="00DF6D23">
      <w:pPr>
        <w:pStyle w:val="Default"/>
        <w:spacing w:after="120"/>
        <w:jc w:val="center"/>
        <w:rPr>
          <w:b/>
          <w:bCs/>
          <w:sz w:val="52"/>
          <w:szCs w:val="52"/>
        </w:rPr>
      </w:pPr>
      <w:r w:rsidRPr="00617F15">
        <w:rPr>
          <w:b/>
          <w:bCs/>
          <w:sz w:val="52"/>
          <w:szCs w:val="52"/>
        </w:rPr>
        <w:t>L.S COLLEGE MUZAFFARPUR</w:t>
      </w:r>
    </w:p>
    <w:p w:rsidR="00DF6D23" w:rsidRPr="00617F15" w:rsidRDefault="00DF6D23" w:rsidP="00DF6D23">
      <w:pPr>
        <w:pStyle w:val="Default"/>
        <w:spacing w:after="120"/>
        <w:jc w:val="center"/>
        <w:rPr>
          <w:b/>
          <w:bCs/>
          <w:sz w:val="52"/>
          <w:szCs w:val="52"/>
        </w:rPr>
      </w:pPr>
      <w:r w:rsidRPr="00617F15">
        <w:rPr>
          <w:b/>
          <w:bCs/>
          <w:sz w:val="52"/>
          <w:szCs w:val="52"/>
        </w:rPr>
        <w:t>B. R. A. BIHAR UNIVERSITY</w:t>
      </w:r>
    </w:p>
    <w:p w:rsidR="00DF6D23" w:rsidRPr="00617F15" w:rsidRDefault="00DF6D23" w:rsidP="00DF6D23">
      <w:pPr>
        <w:pStyle w:val="Default"/>
        <w:spacing w:after="120"/>
        <w:jc w:val="center"/>
        <w:rPr>
          <w:sz w:val="52"/>
          <w:szCs w:val="52"/>
        </w:rPr>
      </w:pPr>
      <w:r w:rsidRPr="00617F15">
        <w:rPr>
          <w:b/>
          <w:bCs/>
          <w:sz w:val="52"/>
          <w:szCs w:val="52"/>
        </w:rPr>
        <w:t>Dr. Priyanka</w:t>
      </w:r>
    </w:p>
    <w:p w:rsidR="00BC091B" w:rsidRDefault="00DF6D23" w:rsidP="00DF6D23">
      <w:pPr>
        <w:spacing w:after="120"/>
        <w:rPr>
          <w:b/>
          <w:sz w:val="34"/>
        </w:rPr>
      </w:pPr>
      <w:r w:rsidRPr="00617F15">
        <w:rPr>
          <w:b/>
          <w:bCs/>
          <w:sz w:val="52"/>
          <w:szCs w:val="52"/>
        </w:rPr>
        <w:t>TOPIC:-</w:t>
      </w:r>
      <w:r>
        <w:rPr>
          <w:b/>
          <w:bCs/>
          <w:sz w:val="52"/>
          <w:szCs w:val="52"/>
        </w:rPr>
        <w:t>UNIT -3,Introduction &amp;Periodic properties and their variation</w:t>
      </w:r>
      <w:r>
        <w:rPr>
          <w:b/>
          <w:sz w:val="34"/>
        </w:rPr>
        <w:t xml:space="preserve"> </w:t>
      </w:r>
    </w:p>
    <w:p w:rsidR="00DF6D23" w:rsidRDefault="00DF6D23" w:rsidP="00DF6D23">
      <w:pPr>
        <w:pStyle w:val="Heading3"/>
        <w:tabs>
          <w:tab w:val="left" w:pos="762"/>
        </w:tabs>
        <w:spacing w:before="193"/>
        <w:ind w:left="0"/>
        <w:rPr>
          <w:sz w:val="36"/>
          <w:szCs w:val="36"/>
          <w:u w:val="single"/>
        </w:rPr>
      </w:pPr>
      <w:r w:rsidRPr="00DF6D23">
        <w:rPr>
          <w:sz w:val="36"/>
          <w:szCs w:val="36"/>
          <w:u w:val="single"/>
        </w:rPr>
        <w:t>Atomic Radii, Atomic Volumes and Ionic</w:t>
      </w:r>
      <w:r w:rsidRPr="00DF6D23">
        <w:rPr>
          <w:spacing w:val="27"/>
          <w:sz w:val="36"/>
          <w:szCs w:val="36"/>
          <w:u w:val="single"/>
        </w:rPr>
        <w:t xml:space="preserve"> </w:t>
      </w:r>
      <w:r w:rsidRPr="00DF6D23">
        <w:rPr>
          <w:sz w:val="36"/>
          <w:szCs w:val="36"/>
          <w:u w:val="single"/>
        </w:rPr>
        <w:t>Radii</w:t>
      </w:r>
    </w:p>
    <w:p w:rsidR="00DF6D23" w:rsidRPr="00DF6D23" w:rsidRDefault="00DF6D23" w:rsidP="00DF6D23">
      <w:pPr>
        <w:pStyle w:val="Heading3"/>
        <w:tabs>
          <w:tab w:val="left" w:pos="817"/>
        </w:tabs>
        <w:spacing w:before="12"/>
        <w:ind w:left="0"/>
        <w:rPr>
          <w:sz w:val="36"/>
          <w:szCs w:val="36"/>
          <w:u w:val="single"/>
        </w:rPr>
      </w:pPr>
      <w:r w:rsidRPr="00DF6D23">
        <w:rPr>
          <w:sz w:val="36"/>
          <w:szCs w:val="36"/>
          <w:u w:val="single"/>
        </w:rPr>
        <w:t>Melting and Boiling</w:t>
      </w:r>
      <w:r w:rsidRPr="00DF6D23">
        <w:rPr>
          <w:spacing w:val="7"/>
          <w:sz w:val="36"/>
          <w:szCs w:val="36"/>
          <w:u w:val="single"/>
        </w:rPr>
        <w:t xml:space="preserve"> </w:t>
      </w:r>
      <w:r w:rsidRPr="00DF6D23">
        <w:rPr>
          <w:sz w:val="36"/>
          <w:szCs w:val="36"/>
          <w:u w:val="single"/>
        </w:rPr>
        <w:t>Points</w:t>
      </w:r>
    </w:p>
    <w:p w:rsidR="00DF6D23" w:rsidRDefault="00DF6D23" w:rsidP="00DF6D23">
      <w:pPr>
        <w:pStyle w:val="Heading3"/>
        <w:tabs>
          <w:tab w:val="left" w:pos="762"/>
        </w:tabs>
        <w:spacing w:before="4"/>
        <w:ind w:left="339"/>
        <w:rPr>
          <w:sz w:val="36"/>
          <w:szCs w:val="36"/>
          <w:u w:val="single"/>
        </w:rPr>
      </w:pPr>
      <w:r w:rsidRPr="00DF6D23">
        <w:rPr>
          <w:sz w:val="36"/>
          <w:szCs w:val="36"/>
          <w:u w:val="single"/>
        </w:rPr>
        <w:t>Ionization Energies and</w:t>
      </w:r>
      <w:r w:rsidRPr="00DF6D23">
        <w:rPr>
          <w:spacing w:val="7"/>
          <w:sz w:val="36"/>
          <w:szCs w:val="36"/>
          <w:u w:val="single"/>
        </w:rPr>
        <w:t xml:space="preserve"> </w:t>
      </w:r>
      <w:r w:rsidRPr="00DF6D23">
        <w:rPr>
          <w:sz w:val="36"/>
          <w:szCs w:val="36"/>
          <w:u w:val="single"/>
        </w:rPr>
        <w:t>Reactivity</w:t>
      </w:r>
    </w:p>
    <w:p w:rsidR="00DF6D23" w:rsidRPr="00DF6D23" w:rsidRDefault="00DF6D23" w:rsidP="00DF6D23">
      <w:pPr>
        <w:pStyle w:val="Heading3"/>
        <w:tabs>
          <w:tab w:val="left" w:pos="762"/>
        </w:tabs>
        <w:spacing w:before="4"/>
        <w:ind w:left="761"/>
        <w:rPr>
          <w:sz w:val="36"/>
          <w:szCs w:val="36"/>
          <w:u w:val="single"/>
        </w:rPr>
      </w:pPr>
    </w:p>
    <w:p w:rsidR="00DF6D23" w:rsidRPr="00DF6D23" w:rsidRDefault="00DF6D23" w:rsidP="00DF6D23">
      <w:pPr>
        <w:pStyle w:val="Heading3"/>
        <w:tabs>
          <w:tab w:val="left" w:pos="762"/>
        </w:tabs>
        <w:spacing w:before="193"/>
        <w:ind w:left="0"/>
        <w:rPr>
          <w:sz w:val="36"/>
          <w:szCs w:val="36"/>
          <w:u w:val="single"/>
        </w:rPr>
      </w:pPr>
    </w:p>
    <w:p w:rsidR="00D2338F" w:rsidRPr="00DF6D23" w:rsidRDefault="000C6B92">
      <w:pPr>
        <w:pStyle w:val="Heading2"/>
        <w:numPr>
          <w:ilvl w:val="2"/>
          <w:numId w:val="6"/>
        </w:numPr>
        <w:tabs>
          <w:tab w:val="left" w:pos="976"/>
        </w:tabs>
        <w:spacing w:before="93"/>
        <w:jc w:val="both"/>
        <w:rPr>
          <w:sz w:val="36"/>
          <w:szCs w:val="36"/>
          <w:u w:val="single"/>
        </w:rPr>
      </w:pPr>
      <w:r w:rsidRPr="00DF6D23">
        <w:rPr>
          <w:sz w:val="36"/>
          <w:szCs w:val="36"/>
          <w:u w:val="single"/>
        </w:rPr>
        <w:lastRenderedPageBreak/>
        <w:t>Periodic Properties and Their Variation along the</w:t>
      </w:r>
      <w:r w:rsidRPr="00DF6D23">
        <w:rPr>
          <w:spacing w:val="23"/>
          <w:sz w:val="36"/>
          <w:szCs w:val="36"/>
          <w:u w:val="single"/>
        </w:rPr>
        <w:t xml:space="preserve"> </w:t>
      </w:r>
      <w:r w:rsidRPr="00DF6D23">
        <w:rPr>
          <w:sz w:val="36"/>
          <w:szCs w:val="36"/>
          <w:u w:val="single"/>
        </w:rPr>
        <w:t>Series</w:t>
      </w:r>
    </w:p>
    <w:p w:rsidR="00D2338F" w:rsidRDefault="00D2338F">
      <w:pPr>
        <w:pStyle w:val="BodyText"/>
        <w:spacing w:before="4"/>
        <w:rPr>
          <w:b/>
          <w:sz w:val="28"/>
        </w:rPr>
      </w:pPr>
    </w:p>
    <w:p w:rsidR="00D2338F" w:rsidRDefault="000C6B92">
      <w:pPr>
        <w:pStyle w:val="BodyText"/>
        <w:spacing w:line="369" w:lineRule="auto"/>
        <w:ind w:left="423" w:right="726" w:firstLine="676"/>
        <w:jc w:val="both"/>
      </w:pPr>
      <w:r>
        <w:t>The periodic properties of second transition series elements such as the atomic radii, ionic radii, atomic volumes, ionization energies, melting and boiling points, standard electrode potentials, reactivity and reducing properties also vary along the series from the first element Y to the last element Cd. These have been discussed  below along with their variation in the</w:t>
      </w:r>
      <w:r>
        <w:rPr>
          <w:spacing w:val="16"/>
        </w:rPr>
        <w:t xml:space="preserve"> </w:t>
      </w:r>
      <w:r>
        <w:t>series.</w:t>
      </w:r>
    </w:p>
    <w:p w:rsidR="00D2338F" w:rsidRPr="00DF6D23" w:rsidRDefault="000C6B92" w:rsidP="00DF6D23">
      <w:pPr>
        <w:pStyle w:val="Heading3"/>
        <w:tabs>
          <w:tab w:val="left" w:pos="762"/>
        </w:tabs>
        <w:spacing w:before="193"/>
        <w:ind w:left="339"/>
        <w:rPr>
          <w:sz w:val="36"/>
          <w:szCs w:val="36"/>
          <w:u w:val="single"/>
        </w:rPr>
      </w:pPr>
      <w:r w:rsidRPr="00DF6D23">
        <w:rPr>
          <w:sz w:val="36"/>
          <w:szCs w:val="36"/>
          <w:u w:val="single"/>
        </w:rPr>
        <w:t>Atomic Radii, Atomic Volumes and Ionic</w:t>
      </w:r>
      <w:r w:rsidRPr="00DF6D23">
        <w:rPr>
          <w:spacing w:val="27"/>
          <w:sz w:val="36"/>
          <w:szCs w:val="36"/>
          <w:u w:val="single"/>
        </w:rPr>
        <w:t xml:space="preserve"> </w:t>
      </w:r>
      <w:r w:rsidRPr="00DF6D23">
        <w:rPr>
          <w:sz w:val="36"/>
          <w:szCs w:val="36"/>
          <w:u w:val="single"/>
        </w:rPr>
        <w:t>Radii</w:t>
      </w:r>
    </w:p>
    <w:p w:rsidR="00D2338F" w:rsidRPr="00DF6D23" w:rsidRDefault="00D2338F">
      <w:pPr>
        <w:pStyle w:val="BodyText"/>
        <w:spacing w:before="8"/>
        <w:rPr>
          <w:b/>
          <w:sz w:val="36"/>
          <w:szCs w:val="36"/>
          <w:u w:val="single"/>
        </w:rPr>
      </w:pPr>
    </w:p>
    <w:p w:rsidR="00D2338F" w:rsidRDefault="000C6B92">
      <w:pPr>
        <w:pStyle w:val="BodyText"/>
        <w:spacing w:line="369" w:lineRule="auto"/>
        <w:ind w:left="423" w:right="725" w:firstLine="676"/>
        <w:jc w:val="both"/>
      </w:pPr>
      <w:r>
        <w:t xml:space="preserve">It has been observed that the atomic radii of the elements of second transition series, though not known with certainty, decrease from the first element, Y to Rh, the next congener of Co and increase thereafter up to the last element, Cd. The values are very close from Mo to Pd because of the increased screening effect  of  the  4d  electrons which more or less counter balance the nuclear pull exerted on the 5s electrons. Then the screening effect becomes more and more pronounced thereby decreasing the attractive force between the nucleus and the outer  electrons.  As  a result, atomic radii of </w:t>
      </w:r>
      <w:r>
        <w:rPr>
          <w:spacing w:val="-3"/>
        </w:rPr>
        <w:t xml:space="preserve">Ag </w:t>
      </w:r>
      <w:r>
        <w:t>and Cd are increased. Cd has next highest atomic radius which is only lower than that for Y. These values have</w:t>
      </w:r>
      <w:r>
        <w:rPr>
          <w:spacing w:val="11"/>
        </w:rPr>
        <w:t xml:space="preserve"> </w:t>
      </w:r>
      <w:r>
        <w:t>been given below:</w:t>
      </w:r>
    </w:p>
    <w:p w:rsidR="00DF6D23" w:rsidRDefault="00DF6D23">
      <w:pPr>
        <w:pStyle w:val="BodyText"/>
        <w:spacing w:line="369" w:lineRule="auto"/>
        <w:ind w:left="423" w:right="725" w:firstLine="676"/>
        <w:jc w:val="both"/>
      </w:pPr>
    </w:p>
    <w:tbl>
      <w:tblPr>
        <w:tblpPr w:leftFromText="180" w:rightFromText="180" w:vertAnchor="text" w:horzAnchor="margin" w:tblpXSpec="center" w:tblpY="1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2"/>
        <w:gridCol w:w="593"/>
        <w:gridCol w:w="591"/>
        <w:gridCol w:w="595"/>
        <w:gridCol w:w="593"/>
        <w:gridCol w:w="678"/>
        <w:gridCol w:w="594"/>
        <w:gridCol w:w="592"/>
        <w:gridCol w:w="678"/>
        <w:gridCol w:w="510"/>
        <w:gridCol w:w="763"/>
      </w:tblGrid>
      <w:tr w:rsidR="00DF6D23" w:rsidTr="00DF6D23">
        <w:trPr>
          <w:trHeight w:val="388"/>
        </w:trPr>
        <w:tc>
          <w:tcPr>
            <w:tcW w:w="1502" w:type="dxa"/>
          </w:tcPr>
          <w:p w:rsidR="00DF6D23" w:rsidRDefault="00DF6D23" w:rsidP="00DF6D23">
            <w:pPr>
              <w:pStyle w:val="TableParagraph"/>
              <w:spacing w:line="251" w:lineRule="exact"/>
              <w:ind w:left="100"/>
            </w:pPr>
            <w:r>
              <w:t>Elements</w:t>
            </w:r>
          </w:p>
        </w:tc>
        <w:tc>
          <w:tcPr>
            <w:tcW w:w="593" w:type="dxa"/>
          </w:tcPr>
          <w:p w:rsidR="00DF6D23" w:rsidRDefault="00DF6D23" w:rsidP="00DF6D23">
            <w:pPr>
              <w:pStyle w:val="TableParagraph"/>
              <w:spacing w:line="251" w:lineRule="exact"/>
              <w:ind w:left="100"/>
            </w:pPr>
            <w:r>
              <w:rPr>
                <w:w w:val="102"/>
              </w:rPr>
              <w:t>Y</w:t>
            </w:r>
          </w:p>
        </w:tc>
        <w:tc>
          <w:tcPr>
            <w:tcW w:w="591" w:type="dxa"/>
          </w:tcPr>
          <w:p w:rsidR="00DF6D23" w:rsidRDefault="00DF6D23" w:rsidP="00DF6D23">
            <w:pPr>
              <w:pStyle w:val="TableParagraph"/>
              <w:spacing w:line="251" w:lineRule="exact"/>
              <w:ind w:left="97"/>
            </w:pPr>
            <w:r>
              <w:t>Zr</w:t>
            </w:r>
          </w:p>
        </w:tc>
        <w:tc>
          <w:tcPr>
            <w:tcW w:w="595" w:type="dxa"/>
          </w:tcPr>
          <w:p w:rsidR="00DF6D23" w:rsidRDefault="00DF6D23" w:rsidP="00DF6D23">
            <w:pPr>
              <w:pStyle w:val="TableParagraph"/>
              <w:spacing w:line="251" w:lineRule="exact"/>
              <w:ind w:left="101"/>
            </w:pPr>
            <w:r>
              <w:t>Nb</w:t>
            </w:r>
          </w:p>
        </w:tc>
        <w:tc>
          <w:tcPr>
            <w:tcW w:w="593" w:type="dxa"/>
          </w:tcPr>
          <w:p w:rsidR="00DF6D23" w:rsidRDefault="00DF6D23" w:rsidP="00DF6D23">
            <w:pPr>
              <w:pStyle w:val="TableParagraph"/>
              <w:spacing w:line="251" w:lineRule="exact"/>
              <w:ind w:left="97"/>
            </w:pPr>
            <w:r>
              <w:t>Mo</w:t>
            </w:r>
          </w:p>
        </w:tc>
        <w:tc>
          <w:tcPr>
            <w:tcW w:w="678" w:type="dxa"/>
          </w:tcPr>
          <w:p w:rsidR="00DF6D23" w:rsidRDefault="00DF6D23" w:rsidP="00DF6D23">
            <w:pPr>
              <w:pStyle w:val="TableParagraph"/>
              <w:spacing w:line="251" w:lineRule="exact"/>
              <w:ind w:left="96"/>
            </w:pPr>
            <w:r>
              <w:t>Tc</w:t>
            </w:r>
          </w:p>
        </w:tc>
        <w:tc>
          <w:tcPr>
            <w:tcW w:w="594" w:type="dxa"/>
          </w:tcPr>
          <w:p w:rsidR="00DF6D23" w:rsidRDefault="00DF6D23" w:rsidP="00DF6D23">
            <w:pPr>
              <w:pStyle w:val="TableParagraph"/>
              <w:spacing w:line="251" w:lineRule="exact"/>
              <w:ind w:left="95"/>
            </w:pPr>
            <w:r>
              <w:t>Ru</w:t>
            </w:r>
          </w:p>
        </w:tc>
        <w:tc>
          <w:tcPr>
            <w:tcW w:w="592" w:type="dxa"/>
          </w:tcPr>
          <w:p w:rsidR="00DF6D23" w:rsidRDefault="00DF6D23" w:rsidP="00DF6D23">
            <w:pPr>
              <w:pStyle w:val="TableParagraph"/>
              <w:spacing w:line="251" w:lineRule="exact"/>
              <w:ind w:left="92"/>
            </w:pPr>
            <w:r>
              <w:t>Rh</w:t>
            </w:r>
          </w:p>
        </w:tc>
        <w:tc>
          <w:tcPr>
            <w:tcW w:w="678" w:type="dxa"/>
          </w:tcPr>
          <w:p w:rsidR="00DF6D23" w:rsidRDefault="00DF6D23" w:rsidP="00DF6D23">
            <w:pPr>
              <w:pStyle w:val="TableParagraph"/>
              <w:spacing w:line="251" w:lineRule="exact"/>
              <w:ind w:left="95"/>
            </w:pPr>
            <w:r>
              <w:t>Pd</w:t>
            </w:r>
          </w:p>
        </w:tc>
        <w:tc>
          <w:tcPr>
            <w:tcW w:w="510" w:type="dxa"/>
          </w:tcPr>
          <w:p w:rsidR="00DF6D23" w:rsidRDefault="00DF6D23" w:rsidP="00DF6D23">
            <w:pPr>
              <w:pStyle w:val="TableParagraph"/>
              <w:spacing w:line="251" w:lineRule="exact"/>
              <w:ind w:left="94"/>
            </w:pPr>
            <w:r>
              <w:t>Ag</w:t>
            </w:r>
          </w:p>
        </w:tc>
        <w:tc>
          <w:tcPr>
            <w:tcW w:w="763" w:type="dxa"/>
          </w:tcPr>
          <w:p w:rsidR="00DF6D23" w:rsidRDefault="00DF6D23" w:rsidP="00DF6D23">
            <w:pPr>
              <w:pStyle w:val="TableParagraph"/>
              <w:spacing w:line="251" w:lineRule="exact"/>
              <w:ind w:left="90"/>
            </w:pPr>
            <w:r>
              <w:t>Cd</w:t>
            </w:r>
          </w:p>
        </w:tc>
      </w:tr>
      <w:tr w:rsidR="00DF6D23" w:rsidTr="00DF6D23">
        <w:trPr>
          <w:trHeight w:val="777"/>
        </w:trPr>
        <w:tc>
          <w:tcPr>
            <w:tcW w:w="1502" w:type="dxa"/>
          </w:tcPr>
          <w:p w:rsidR="00DF6D23" w:rsidRDefault="00DF6D23" w:rsidP="00DF6D23">
            <w:pPr>
              <w:pStyle w:val="TableParagraph"/>
              <w:spacing w:line="251" w:lineRule="exact"/>
              <w:ind w:left="100"/>
            </w:pPr>
            <w:r>
              <w:t>Atomic radii</w:t>
            </w:r>
          </w:p>
          <w:p w:rsidR="00DF6D23" w:rsidRDefault="00DF6D23" w:rsidP="00DF6D23">
            <w:pPr>
              <w:pStyle w:val="TableParagraph"/>
              <w:spacing w:before="136"/>
              <w:ind w:left="100"/>
            </w:pPr>
            <w:r>
              <w:t>(pm)</w:t>
            </w:r>
          </w:p>
        </w:tc>
        <w:tc>
          <w:tcPr>
            <w:tcW w:w="593" w:type="dxa"/>
          </w:tcPr>
          <w:p w:rsidR="00DF6D23" w:rsidRDefault="00DF6D23" w:rsidP="00DF6D23">
            <w:pPr>
              <w:pStyle w:val="TableParagraph"/>
              <w:spacing w:line="251" w:lineRule="exact"/>
              <w:ind w:left="100"/>
            </w:pPr>
            <w:r>
              <w:t>162</w:t>
            </w:r>
          </w:p>
        </w:tc>
        <w:tc>
          <w:tcPr>
            <w:tcW w:w="591" w:type="dxa"/>
          </w:tcPr>
          <w:p w:rsidR="00DF6D23" w:rsidRDefault="00DF6D23" w:rsidP="00DF6D23">
            <w:pPr>
              <w:pStyle w:val="TableParagraph"/>
              <w:spacing w:line="251" w:lineRule="exact"/>
              <w:ind w:left="97"/>
            </w:pPr>
            <w:r>
              <w:t>145</w:t>
            </w:r>
          </w:p>
        </w:tc>
        <w:tc>
          <w:tcPr>
            <w:tcW w:w="595" w:type="dxa"/>
          </w:tcPr>
          <w:p w:rsidR="00DF6D23" w:rsidRDefault="00DF6D23" w:rsidP="00DF6D23">
            <w:pPr>
              <w:pStyle w:val="TableParagraph"/>
              <w:spacing w:line="251" w:lineRule="exact"/>
              <w:ind w:left="101"/>
            </w:pPr>
            <w:r>
              <w:t>134</w:t>
            </w:r>
          </w:p>
        </w:tc>
        <w:tc>
          <w:tcPr>
            <w:tcW w:w="593" w:type="dxa"/>
          </w:tcPr>
          <w:p w:rsidR="00DF6D23" w:rsidRDefault="00DF6D23" w:rsidP="00DF6D23">
            <w:pPr>
              <w:pStyle w:val="TableParagraph"/>
              <w:spacing w:line="251" w:lineRule="exact"/>
              <w:ind w:left="97"/>
            </w:pPr>
            <w:r>
              <w:t>130</w:t>
            </w:r>
          </w:p>
        </w:tc>
        <w:tc>
          <w:tcPr>
            <w:tcW w:w="678" w:type="dxa"/>
          </w:tcPr>
          <w:p w:rsidR="00DF6D23" w:rsidRDefault="00DF6D23" w:rsidP="00DF6D23">
            <w:pPr>
              <w:pStyle w:val="TableParagraph"/>
              <w:spacing w:line="251" w:lineRule="exact"/>
              <w:ind w:left="96"/>
            </w:pPr>
            <w:r>
              <w:t>127</w:t>
            </w:r>
          </w:p>
        </w:tc>
        <w:tc>
          <w:tcPr>
            <w:tcW w:w="594" w:type="dxa"/>
          </w:tcPr>
          <w:p w:rsidR="00DF6D23" w:rsidRDefault="00DF6D23" w:rsidP="00DF6D23">
            <w:pPr>
              <w:pStyle w:val="TableParagraph"/>
              <w:spacing w:line="251" w:lineRule="exact"/>
              <w:ind w:left="95"/>
            </w:pPr>
            <w:r>
              <w:t>125</w:t>
            </w:r>
          </w:p>
        </w:tc>
        <w:tc>
          <w:tcPr>
            <w:tcW w:w="592" w:type="dxa"/>
          </w:tcPr>
          <w:p w:rsidR="00DF6D23" w:rsidRDefault="00DF6D23" w:rsidP="00DF6D23">
            <w:pPr>
              <w:pStyle w:val="TableParagraph"/>
              <w:spacing w:line="251" w:lineRule="exact"/>
              <w:ind w:left="92"/>
            </w:pPr>
            <w:r>
              <w:t>125</w:t>
            </w:r>
          </w:p>
        </w:tc>
        <w:tc>
          <w:tcPr>
            <w:tcW w:w="678" w:type="dxa"/>
          </w:tcPr>
          <w:p w:rsidR="00DF6D23" w:rsidRDefault="00DF6D23" w:rsidP="00DF6D23">
            <w:pPr>
              <w:pStyle w:val="TableParagraph"/>
              <w:spacing w:line="251" w:lineRule="exact"/>
              <w:ind w:left="95"/>
            </w:pPr>
            <w:r>
              <w:t>128</w:t>
            </w:r>
          </w:p>
        </w:tc>
        <w:tc>
          <w:tcPr>
            <w:tcW w:w="510" w:type="dxa"/>
          </w:tcPr>
          <w:p w:rsidR="00DF6D23" w:rsidRDefault="00DF6D23" w:rsidP="00DF6D23">
            <w:pPr>
              <w:pStyle w:val="TableParagraph"/>
              <w:spacing w:line="251" w:lineRule="exact"/>
              <w:ind w:left="94"/>
            </w:pPr>
            <w:r>
              <w:t>13</w:t>
            </w:r>
          </w:p>
          <w:p w:rsidR="00DF6D23" w:rsidRDefault="00DF6D23" w:rsidP="00DF6D23">
            <w:pPr>
              <w:pStyle w:val="TableParagraph"/>
              <w:spacing w:before="136"/>
              <w:ind w:left="94"/>
            </w:pPr>
            <w:r>
              <w:rPr>
                <w:w w:val="102"/>
              </w:rPr>
              <w:t>4</w:t>
            </w:r>
          </w:p>
        </w:tc>
        <w:tc>
          <w:tcPr>
            <w:tcW w:w="763" w:type="dxa"/>
          </w:tcPr>
          <w:p w:rsidR="00DF6D23" w:rsidRDefault="00DF6D23" w:rsidP="00DF6D23">
            <w:pPr>
              <w:pStyle w:val="TableParagraph"/>
              <w:spacing w:line="251" w:lineRule="exact"/>
              <w:ind w:left="90"/>
            </w:pPr>
            <w:r>
              <w:t>148</w:t>
            </w:r>
          </w:p>
        </w:tc>
      </w:tr>
    </w:tbl>
    <w:p w:rsidR="00DF6D23" w:rsidRDefault="00DF6D23">
      <w:pPr>
        <w:pStyle w:val="BodyText"/>
        <w:spacing w:line="369" w:lineRule="auto"/>
        <w:ind w:left="423" w:right="725" w:firstLine="676"/>
        <w:jc w:val="both"/>
      </w:pPr>
    </w:p>
    <w:p w:rsidR="00D2338F" w:rsidRDefault="00D2338F">
      <w:pPr>
        <w:pStyle w:val="BodyText"/>
        <w:rPr>
          <w:sz w:val="16"/>
        </w:rPr>
      </w:pPr>
    </w:p>
    <w:p w:rsidR="00D2338F" w:rsidRDefault="00D2338F">
      <w:pPr>
        <w:pStyle w:val="BodyText"/>
        <w:rPr>
          <w:sz w:val="24"/>
        </w:rPr>
      </w:pPr>
    </w:p>
    <w:p w:rsidR="00D2338F" w:rsidRDefault="00D2338F">
      <w:pPr>
        <w:pStyle w:val="BodyText"/>
        <w:spacing w:before="11"/>
        <w:rPr>
          <w:sz w:val="25"/>
        </w:rPr>
      </w:pPr>
    </w:p>
    <w:p w:rsidR="00DF6D23" w:rsidRDefault="00DF6D23">
      <w:pPr>
        <w:pStyle w:val="BodyText"/>
        <w:spacing w:line="372" w:lineRule="auto"/>
        <w:ind w:left="423" w:right="728"/>
        <w:jc w:val="both"/>
      </w:pPr>
    </w:p>
    <w:p w:rsidR="00DF6D23" w:rsidRDefault="00DF6D23">
      <w:pPr>
        <w:pStyle w:val="BodyText"/>
        <w:spacing w:line="372" w:lineRule="auto"/>
        <w:ind w:left="423" w:right="728"/>
        <w:jc w:val="both"/>
      </w:pPr>
    </w:p>
    <w:p w:rsidR="00DF6D23" w:rsidRDefault="00DF6D23">
      <w:pPr>
        <w:pStyle w:val="BodyText"/>
        <w:spacing w:line="372" w:lineRule="auto"/>
        <w:ind w:left="423" w:right="728"/>
        <w:jc w:val="both"/>
      </w:pPr>
    </w:p>
    <w:p w:rsidR="00DF6D23" w:rsidRDefault="00DF6D23">
      <w:pPr>
        <w:pStyle w:val="BodyText"/>
        <w:spacing w:line="372" w:lineRule="auto"/>
        <w:ind w:left="423" w:right="728"/>
        <w:jc w:val="both"/>
      </w:pPr>
    </w:p>
    <w:p w:rsidR="00D2338F" w:rsidRDefault="000C6B92">
      <w:pPr>
        <w:pStyle w:val="BodyText"/>
        <w:spacing w:line="372" w:lineRule="auto"/>
        <w:ind w:left="423" w:right="728"/>
        <w:jc w:val="both"/>
      </w:pPr>
      <w:r>
        <w:t>The atomic volumes of these elements which are dependent on the atomic radii show the same trend in their variation. The atomic volumes are being listed</w:t>
      </w:r>
      <w:r>
        <w:rPr>
          <w:spacing w:val="11"/>
        </w:rPr>
        <w:t xml:space="preserve"> </w:t>
      </w:r>
      <w:r>
        <w:t>below:</w:t>
      </w:r>
    </w:p>
    <w:p w:rsidR="00DF6D23" w:rsidRDefault="00DF6D23">
      <w:pPr>
        <w:pStyle w:val="BodyText"/>
        <w:spacing w:line="372" w:lineRule="auto"/>
        <w:ind w:left="423" w:right="728"/>
        <w:jc w:val="both"/>
      </w:pPr>
    </w:p>
    <w:p w:rsidR="00DF6D23" w:rsidRDefault="00DF6D23">
      <w:pPr>
        <w:pStyle w:val="BodyText"/>
        <w:spacing w:line="372" w:lineRule="auto"/>
        <w:ind w:left="423" w:right="728"/>
        <w:jc w:val="both"/>
      </w:pPr>
    </w:p>
    <w:p w:rsidR="00DF6D23" w:rsidRDefault="00DF6D23">
      <w:pPr>
        <w:pStyle w:val="BodyText"/>
        <w:spacing w:line="372" w:lineRule="auto"/>
        <w:ind w:left="423" w:right="728"/>
        <w:jc w:val="both"/>
      </w:pPr>
    </w:p>
    <w:p w:rsidR="00DF6D23" w:rsidRDefault="00DF6D23">
      <w:pPr>
        <w:pStyle w:val="BodyText"/>
        <w:spacing w:line="372" w:lineRule="auto"/>
        <w:ind w:left="423" w:right="728"/>
        <w:jc w:val="both"/>
      </w:pPr>
    </w:p>
    <w:p w:rsidR="00DF6D23" w:rsidRDefault="00DF6D23">
      <w:pPr>
        <w:pStyle w:val="BodyText"/>
        <w:spacing w:line="372" w:lineRule="auto"/>
        <w:ind w:left="423" w:right="728"/>
        <w:jc w:val="both"/>
      </w:pPr>
    </w:p>
    <w:p w:rsidR="00DF6D23" w:rsidRDefault="00DF6D23">
      <w:pPr>
        <w:pStyle w:val="BodyText"/>
        <w:spacing w:line="372" w:lineRule="auto"/>
        <w:ind w:left="423" w:right="728"/>
        <w:jc w:val="both"/>
      </w:pPr>
    </w:p>
    <w:p w:rsidR="00D2338F" w:rsidRDefault="00D2338F">
      <w:pPr>
        <w:pStyle w:val="BodyText"/>
        <w:spacing w:before="2" w:after="1"/>
        <w:rPr>
          <w:sz w:val="16"/>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0"/>
        <w:gridCol w:w="676"/>
        <w:gridCol w:w="676"/>
        <w:gridCol w:w="676"/>
        <w:gridCol w:w="676"/>
        <w:gridCol w:w="507"/>
        <w:gridCol w:w="590"/>
        <w:gridCol w:w="594"/>
        <w:gridCol w:w="508"/>
        <w:gridCol w:w="677"/>
        <w:gridCol w:w="846"/>
      </w:tblGrid>
      <w:tr w:rsidR="00D2338F">
        <w:trPr>
          <w:trHeight w:val="387"/>
        </w:trPr>
        <w:tc>
          <w:tcPr>
            <w:tcW w:w="1100" w:type="dxa"/>
          </w:tcPr>
          <w:p w:rsidR="00D2338F" w:rsidRDefault="000C6B92">
            <w:pPr>
              <w:pStyle w:val="TableParagraph"/>
              <w:spacing w:line="249" w:lineRule="exact"/>
              <w:ind w:left="100"/>
            </w:pPr>
            <w:r>
              <w:t>Elements</w:t>
            </w:r>
          </w:p>
        </w:tc>
        <w:tc>
          <w:tcPr>
            <w:tcW w:w="676" w:type="dxa"/>
          </w:tcPr>
          <w:p w:rsidR="00D2338F" w:rsidRDefault="000C6B92">
            <w:pPr>
              <w:pStyle w:val="TableParagraph"/>
              <w:spacing w:line="249" w:lineRule="exact"/>
              <w:ind w:left="99"/>
            </w:pPr>
            <w:r>
              <w:rPr>
                <w:w w:val="102"/>
              </w:rPr>
              <w:t>Y</w:t>
            </w:r>
          </w:p>
        </w:tc>
        <w:tc>
          <w:tcPr>
            <w:tcW w:w="676" w:type="dxa"/>
          </w:tcPr>
          <w:p w:rsidR="00D2338F" w:rsidRDefault="000C6B92">
            <w:pPr>
              <w:pStyle w:val="TableParagraph"/>
              <w:spacing w:line="249" w:lineRule="exact"/>
              <w:ind w:left="100"/>
            </w:pPr>
            <w:r>
              <w:t>Zr</w:t>
            </w:r>
          </w:p>
        </w:tc>
        <w:tc>
          <w:tcPr>
            <w:tcW w:w="676" w:type="dxa"/>
          </w:tcPr>
          <w:p w:rsidR="00D2338F" w:rsidRDefault="000C6B92">
            <w:pPr>
              <w:pStyle w:val="TableParagraph"/>
              <w:spacing w:line="249" w:lineRule="exact"/>
              <w:ind w:left="101"/>
            </w:pPr>
            <w:r>
              <w:t>Nb</w:t>
            </w:r>
          </w:p>
        </w:tc>
        <w:tc>
          <w:tcPr>
            <w:tcW w:w="676" w:type="dxa"/>
          </w:tcPr>
          <w:p w:rsidR="00D2338F" w:rsidRDefault="000C6B92">
            <w:pPr>
              <w:pStyle w:val="TableParagraph"/>
              <w:spacing w:line="249" w:lineRule="exact"/>
              <w:ind w:left="102"/>
            </w:pPr>
            <w:r>
              <w:t>Mo</w:t>
            </w:r>
          </w:p>
        </w:tc>
        <w:tc>
          <w:tcPr>
            <w:tcW w:w="507" w:type="dxa"/>
          </w:tcPr>
          <w:p w:rsidR="00D2338F" w:rsidRDefault="000C6B92">
            <w:pPr>
              <w:pStyle w:val="TableParagraph"/>
              <w:spacing w:line="249" w:lineRule="exact"/>
              <w:ind w:left="102"/>
            </w:pPr>
            <w:r>
              <w:t>Tc</w:t>
            </w:r>
          </w:p>
        </w:tc>
        <w:tc>
          <w:tcPr>
            <w:tcW w:w="590" w:type="dxa"/>
          </w:tcPr>
          <w:p w:rsidR="00D2338F" w:rsidRDefault="000C6B92">
            <w:pPr>
              <w:pStyle w:val="TableParagraph"/>
              <w:spacing w:line="249" w:lineRule="exact"/>
              <w:ind w:left="102"/>
            </w:pPr>
            <w:r>
              <w:t>Ru</w:t>
            </w:r>
          </w:p>
        </w:tc>
        <w:tc>
          <w:tcPr>
            <w:tcW w:w="594" w:type="dxa"/>
          </w:tcPr>
          <w:p w:rsidR="00D2338F" w:rsidRDefault="000C6B92">
            <w:pPr>
              <w:pStyle w:val="TableParagraph"/>
              <w:spacing w:line="249" w:lineRule="exact"/>
              <w:ind w:left="107"/>
            </w:pPr>
            <w:r>
              <w:t>Rh</w:t>
            </w:r>
          </w:p>
        </w:tc>
        <w:tc>
          <w:tcPr>
            <w:tcW w:w="508" w:type="dxa"/>
          </w:tcPr>
          <w:p w:rsidR="00D2338F" w:rsidRDefault="000C6B92">
            <w:pPr>
              <w:pStyle w:val="TableParagraph"/>
              <w:spacing w:line="249" w:lineRule="exact"/>
              <w:ind w:left="103"/>
            </w:pPr>
            <w:r>
              <w:t>Pd</w:t>
            </w:r>
          </w:p>
        </w:tc>
        <w:tc>
          <w:tcPr>
            <w:tcW w:w="677" w:type="dxa"/>
          </w:tcPr>
          <w:p w:rsidR="00D2338F" w:rsidRDefault="000C6B92">
            <w:pPr>
              <w:pStyle w:val="TableParagraph"/>
              <w:spacing w:line="249" w:lineRule="exact"/>
              <w:ind w:left="102"/>
            </w:pPr>
            <w:r>
              <w:t>Ag</w:t>
            </w:r>
          </w:p>
        </w:tc>
        <w:tc>
          <w:tcPr>
            <w:tcW w:w="846" w:type="dxa"/>
          </w:tcPr>
          <w:p w:rsidR="00D2338F" w:rsidRDefault="000C6B92">
            <w:pPr>
              <w:pStyle w:val="TableParagraph"/>
              <w:spacing w:line="249" w:lineRule="exact"/>
              <w:ind w:left="102"/>
            </w:pPr>
            <w:r>
              <w:t>Cd</w:t>
            </w:r>
          </w:p>
        </w:tc>
      </w:tr>
      <w:tr w:rsidR="00D2338F">
        <w:trPr>
          <w:trHeight w:val="1167"/>
        </w:trPr>
        <w:tc>
          <w:tcPr>
            <w:tcW w:w="1100" w:type="dxa"/>
          </w:tcPr>
          <w:p w:rsidR="00D2338F" w:rsidRDefault="000C6B92">
            <w:pPr>
              <w:pStyle w:val="TableParagraph"/>
              <w:spacing w:line="250" w:lineRule="exact"/>
              <w:ind w:left="100"/>
            </w:pPr>
            <w:r>
              <w:t>Atomic</w:t>
            </w:r>
          </w:p>
          <w:p w:rsidR="00D2338F" w:rsidRDefault="000C6B92">
            <w:pPr>
              <w:pStyle w:val="TableParagraph"/>
              <w:spacing w:before="11" w:line="380" w:lineRule="atLeast"/>
              <w:ind w:left="100" w:right="310"/>
            </w:pPr>
            <w:r>
              <w:t>volume (Cm</w:t>
            </w:r>
            <w:r>
              <w:rPr>
                <w:vertAlign w:val="superscript"/>
              </w:rPr>
              <w:t>3</w:t>
            </w:r>
            <w:r>
              <w:t>)</w:t>
            </w:r>
          </w:p>
        </w:tc>
        <w:tc>
          <w:tcPr>
            <w:tcW w:w="676" w:type="dxa"/>
          </w:tcPr>
          <w:p w:rsidR="00D2338F" w:rsidRDefault="000C6B92">
            <w:pPr>
              <w:pStyle w:val="TableParagraph"/>
              <w:spacing w:line="250" w:lineRule="exact"/>
              <w:ind w:left="99"/>
            </w:pPr>
            <w:r>
              <w:t>19.8</w:t>
            </w:r>
          </w:p>
        </w:tc>
        <w:tc>
          <w:tcPr>
            <w:tcW w:w="676" w:type="dxa"/>
          </w:tcPr>
          <w:p w:rsidR="00D2338F" w:rsidRDefault="000C6B92">
            <w:pPr>
              <w:pStyle w:val="TableParagraph"/>
              <w:spacing w:line="250" w:lineRule="exact"/>
              <w:ind w:left="100"/>
            </w:pPr>
            <w:r>
              <w:t>14.0</w:t>
            </w:r>
          </w:p>
        </w:tc>
        <w:tc>
          <w:tcPr>
            <w:tcW w:w="676" w:type="dxa"/>
          </w:tcPr>
          <w:p w:rsidR="00D2338F" w:rsidRDefault="000C6B92">
            <w:pPr>
              <w:pStyle w:val="TableParagraph"/>
              <w:spacing w:line="250" w:lineRule="exact"/>
              <w:ind w:left="101"/>
            </w:pPr>
            <w:r>
              <w:t>10.8</w:t>
            </w:r>
          </w:p>
        </w:tc>
        <w:tc>
          <w:tcPr>
            <w:tcW w:w="676" w:type="dxa"/>
          </w:tcPr>
          <w:p w:rsidR="00D2338F" w:rsidRDefault="000C6B92">
            <w:pPr>
              <w:pStyle w:val="TableParagraph"/>
              <w:spacing w:line="250" w:lineRule="exact"/>
              <w:ind w:left="102"/>
            </w:pPr>
            <w:r>
              <w:t>9.4</w:t>
            </w:r>
          </w:p>
        </w:tc>
        <w:tc>
          <w:tcPr>
            <w:tcW w:w="507" w:type="dxa"/>
          </w:tcPr>
          <w:p w:rsidR="00D2338F" w:rsidRDefault="000C6B92">
            <w:pPr>
              <w:pStyle w:val="TableParagraph"/>
              <w:spacing w:line="250" w:lineRule="exact"/>
              <w:ind w:left="102"/>
            </w:pPr>
            <w:r>
              <w:rPr>
                <w:w w:val="102"/>
              </w:rPr>
              <w:t>-</w:t>
            </w:r>
          </w:p>
        </w:tc>
        <w:tc>
          <w:tcPr>
            <w:tcW w:w="590" w:type="dxa"/>
          </w:tcPr>
          <w:p w:rsidR="00D2338F" w:rsidRDefault="000C6B92">
            <w:pPr>
              <w:pStyle w:val="TableParagraph"/>
              <w:spacing w:line="250" w:lineRule="exact"/>
              <w:ind w:left="102"/>
            </w:pPr>
            <w:r>
              <w:t>8.3</w:t>
            </w:r>
          </w:p>
        </w:tc>
        <w:tc>
          <w:tcPr>
            <w:tcW w:w="594" w:type="dxa"/>
          </w:tcPr>
          <w:p w:rsidR="00D2338F" w:rsidRDefault="000C6B92">
            <w:pPr>
              <w:pStyle w:val="TableParagraph"/>
              <w:spacing w:line="250" w:lineRule="exact"/>
              <w:ind w:left="107"/>
            </w:pPr>
            <w:r>
              <w:t>8.3</w:t>
            </w:r>
          </w:p>
        </w:tc>
        <w:tc>
          <w:tcPr>
            <w:tcW w:w="508" w:type="dxa"/>
          </w:tcPr>
          <w:p w:rsidR="00D2338F" w:rsidRDefault="000C6B92">
            <w:pPr>
              <w:pStyle w:val="TableParagraph"/>
              <w:spacing w:line="250" w:lineRule="exact"/>
              <w:ind w:left="103"/>
            </w:pPr>
            <w:r>
              <w:t>8.9</w:t>
            </w:r>
          </w:p>
        </w:tc>
        <w:tc>
          <w:tcPr>
            <w:tcW w:w="677" w:type="dxa"/>
          </w:tcPr>
          <w:p w:rsidR="00D2338F" w:rsidRDefault="000C6B92">
            <w:pPr>
              <w:pStyle w:val="TableParagraph"/>
              <w:spacing w:line="250" w:lineRule="exact"/>
              <w:ind w:left="102"/>
            </w:pPr>
            <w:r>
              <w:t>10.3</w:t>
            </w:r>
          </w:p>
        </w:tc>
        <w:tc>
          <w:tcPr>
            <w:tcW w:w="846" w:type="dxa"/>
          </w:tcPr>
          <w:p w:rsidR="00D2338F" w:rsidRDefault="000C6B92">
            <w:pPr>
              <w:pStyle w:val="TableParagraph"/>
              <w:spacing w:line="250" w:lineRule="exact"/>
              <w:ind w:left="102"/>
            </w:pPr>
            <w:r>
              <w:t>13.0</w:t>
            </w:r>
          </w:p>
        </w:tc>
      </w:tr>
    </w:tbl>
    <w:p w:rsidR="00D2338F" w:rsidRDefault="00D2338F">
      <w:pPr>
        <w:pStyle w:val="BodyText"/>
        <w:rPr>
          <w:sz w:val="24"/>
        </w:rPr>
      </w:pPr>
    </w:p>
    <w:p w:rsidR="00D2338F" w:rsidRDefault="000C6B92">
      <w:pPr>
        <w:pStyle w:val="BodyText"/>
        <w:spacing w:before="169" w:line="369" w:lineRule="auto"/>
        <w:ind w:left="423" w:right="727"/>
        <w:jc w:val="both"/>
      </w:pPr>
      <w:r>
        <w:t>For Tc its value has artibrarily been calculated but is not known with certainty. The values decrease from the first element, Y, upto Rh and then increase due  to  the obvious reason, i.e. increasing atomic radii</w:t>
      </w:r>
      <w:r>
        <w:rPr>
          <w:spacing w:val="21"/>
        </w:rPr>
        <w:t xml:space="preserve"> </w:t>
      </w:r>
      <w:r>
        <w:t>values.</w:t>
      </w:r>
    </w:p>
    <w:p w:rsidR="00D2338F" w:rsidRDefault="00DF6D23" w:rsidP="00DF6D23">
      <w:pPr>
        <w:tabs>
          <w:tab w:val="left" w:pos="3080"/>
        </w:tabs>
        <w:spacing w:line="369" w:lineRule="auto"/>
        <w:jc w:val="both"/>
      </w:pPr>
      <w:r>
        <w:tab/>
      </w:r>
      <w:r w:rsidR="000C6B92">
        <w:t>The ionic radii follow almost the same trend as the atomic radii at least for the few elements. These elements form ions of variety of oxidation states but only those ions may be considered which bear the same charge.  This analogy does not apply to  the ions of these elements. For</w:t>
      </w:r>
      <w:r w:rsidR="000C6B92">
        <w:rPr>
          <w:spacing w:val="14"/>
        </w:rPr>
        <w:t xml:space="preserve"> </w:t>
      </w:r>
      <w:r w:rsidR="000C6B92">
        <w:t>various ions, the ionic radii are listed here:</w:t>
      </w:r>
    </w:p>
    <w:p w:rsidR="00D2338F" w:rsidRDefault="00D2338F">
      <w:pPr>
        <w:pStyle w:val="BodyText"/>
        <w:spacing w:before="4"/>
        <w:rPr>
          <w:sz w:val="16"/>
        </w:r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02"/>
        <w:gridCol w:w="591"/>
        <w:gridCol w:w="676"/>
        <w:gridCol w:w="676"/>
        <w:gridCol w:w="676"/>
        <w:gridCol w:w="676"/>
        <w:gridCol w:w="676"/>
        <w:gridCol w:w="676"/>
        <w:gridCol w:w="676"/>
        <w:gridCol w:w="676"/>
        <w:gridCol w:w="676"/>
      </w:tblGrid>
      <w:tr w:rsidR="00D2338F">
        <w:trPr>
          <w:trHeight w:val="388"/>
        </w:trPr>
        <w:tc>
          <w:tcPr>
            <w:tcW w:w="1202" w:type="dxa"/>
          </w:tcPr>
          <w:p w:rsidR="00D2338F" w:rsidRDefault="000C6B92">
            <w:pPr>
              <w:pStyle w:val="TableParagraph"/>
              <w:spacing w:line="249" w:lineRule="exact"/>
              <w:ind w:left="100"/>
            </w:pPr>
            <w:r>
              <w:t>Ions</w:t>
            </w:r>
          </w:p>
        </w:tc>
        <w:tc>
          <w:tcPr>
            <w:tcW w:w="591" w:type="dxa"/>
          </w:tcPr>
          <w:p w:rsidR="00D2338F" w:rsidRDefault="000C6B92" w:rsidP="00DF6D23">
            <w:pPr>
              <w:pStyle w:val="BodyText"/>
            </w:pPr>
            <w:r>
              <w:rPr>
                <w:position w:val="-9"/>
              </w:rPr>
              <w:t>Y</w:t>
            </w:r>
            <w:r>
              <w:t>3+</w:t>
            </w:r>
          </w:p>
        </w:tc>
        <w:tc>
          <w:tcPr>
            <w:tcW w:w="676" w:type="dxa"/>
          </w:tcPr>
          <w:p w:rsidR="00D2338F" w:rsidRDefault="000C6B92" w:rsidP="00DF6D23">
            <w:pPr>
              <w:pStyle w:val="BodyText"/>
            </w:pPr>
            <w:r>
              <w:rPr>
                <w:position w:val="-9"/>
              </w:rPr>
              <w:t>Zr</w:t>
            </w:r>
            <w:r>
              <w:t>4+</w:t>
            </w:r>
          </w:p>
        </w:tc>
        <w:tc>
          <w:tcPr>
            <w:tcW w:w="676" w:type="dxa"/>
          </w:tcPr>
          <w:p w:rsidR="00D2338F" w:rsidRDefault="000C6B92" w:rsidP="00DF6D23">
            <w:pPr>
              <w:pStyle w:val="BodyText"/>
            </w:pPr>
            <w:r>
              <w:rPr>
                <w:position w:val="-9"/>
              </w:rPr>
              <w:t>Nb</w:t>
            </w:r>
            <w:r>
              <w:t>5+</w:t>
            </w:r>
          </w:p>
        </w:tc>
        <w:tc>
          <w:tcPr>
            <w:tcW w:w="676" w:type="dxa"/>
          </w:tcPr>
          <w:p w:rsidR="00D2338F" w:rsidRDefault="000C6B92" w:rsidP="00DF6D23">
            <w:pPr>
              <w:pStyle w:val="BodyText"/>
            </w:pPr>
            <w:r>
              <w:rPr>
                <w:position w:val="-9"/>
              </w:rPr>
              <w:t>Mo</w:t>
            </w:r>
            <w:r>
              <w:t>4+</w:t>
            </w:r>
          </w:p>
        </w:tc>
        <w:tc>
          <w:tcPr>
            <w:tcW w:w="676" w:type="dxa"/>
          </w:tcPr>
          <w:p w:rsidR="00D2338F" w:rsidRDefault="000C6B92" w:rsidP="00DF6D23">
            <w:pPr>
              <w:pStyle w:val="BodyText"/>
            </w:pPr>
            <w:r>
              <w:rPr>
                <w:position w:val="-9"/>
              </w:rPr>
              <w:t>Tc</w:t>
            </w:r>
            <w:r>
              <w:t>4+</w:t>
            </w:r>
          </w:p>
        </w:tc>
        <w:tc>
          <w:tcPr>
            <w:tcW w:w="676" w:type="dxa"/>
          </w:tcPr>
          <w:p w:rsidR="00D2338F" w:rsidRDefault="000C6B92" w:rsidP="00DF6D23">
            <w:pPr>
              <w:pStyle w:val="BodyText"/>
            </w:pPr>
            <w:r>
              <w:rPr>
                <w:position w:val="-9"/>
              </w:rPr>
              <w:t>Ru</w:t>
            </w:r>
            <w:r>
              <w:t>3+</w:t>
            </w:r>
          </w:p>
        </w:tc>
        <w:tc>
          <w:tcPr>
            <w:tcW w:w="676" w:type="dxa"/>
          </w:tcPr>
          <w:p w:rsidR="00D2338F" w:rsidRDefault="000C6B92" w:rsidP="00DF6D23">
            <w:pPr>
              <w:pStyle w:val="BodyText"/>
            </w:pPr>
            <w:r>
              <w:rPr>
                <w:position w:val="-9"/>
              </w:rPr>
              <w:t>Rh</w:t>
            </w:r>
            <w:r>
              <w:t>3+</w:t>
            </w:r>
          </w:p>
        </w:tc>
        <w:tc>
          <w:tcPr>
            <w:tcW w:w="676" w:type="dxa"/>
          </w:tcPr>
          <w:p w:rsidR="00D2338F" w:rsidRDefault="000C6B92" w:rsidP="00DF6D23">
            <w:pPr>
              <w:pStyle w:val="BodyText"/>
            </w:pPr>
            <w:r>
              <w:rPr>
                <w:position w:val="-9"/>
              </w:rPr>
              <w:t>Pd</w:t>
            </w:r>
            <w:r>
              <w:t>2+</w:t>
            </w:r>
          </w:p>
        </w:tc>
        <w:tc>
          <w:tcPr>
            <w:tcW w:w="676" w:type="dxa"/>
          </w:tcPr>
          <w:p w:rsidR="00D2338F" w:rsidRDefault="000C6B92" w:rsidP="00DF6D23">
            <w:pPr>
              <w:pStyle w:val="BodyText"/>
            </w:pPr>
            <w:r>
              <w:t>Ag</w:t>
            </w:r>
            <w:r>
              <w:rPr>
                <w:vertAlign w:val="superscript"/>
              </w:rPr>
              <w:t>+</w:t>
            </w:r>
          </w:p>
        </w:tc>
        <w:tc>
          <w:tcPr>
            <w:tcW w:w="676" w:type="dxa"/>
          </w:tcPr>
          <w:p w:rsidR="00D2338F" w:rsidRDefault="000C6B92" w:rsidP="00DF6D23">
            <w:pPr>
              <w:pStyle w:val="BodyText"/>
            </w:pPr>
            <w:r>
              <w:rPr>
                <w:position w:val="-9"/>
              </w:rPr>
              <w:t>Cd</w:t>
            </w:r>
            <w:r>
              <w:t>2+</w:t>
            </w:r>
          </w:p>
        </w:tc>
      </w:tr>
      <w:tr w:rsidR="00D2338F">
        <w:trPr>
          <w:trHeight w:val="777"/>
        </w:trPr>
        <w:tc>
          <w:tcPr>
            <w:tcW w:w="1202" w:type="dxa"/>
          </w:tcPr>
          <w:p w:rsidR="00D2338F" w:rsidRDefault="000C6B92">
            <w:pPr>
              <w:pStyle w:val="TableParagraph"/>
              <w:spacing w:line="251" w:lineRule="exact"/>
              <w:ind w:left="100"/>
            </w:pPr>
            <w:r>
              <w:t>Ionic radii</w:t>
            </w:r>
          </w:p>
          <w:p w:rsidR="00D2338F" w:rsidRDefault="000C6B92">
            <w:pPr>
              <w:pStyle w:val="TableParagraph"/>
              <w:spacing w:before="136"/>
              <w:ind w:left="100"/>
            </w:pPr>
            <w:r>
              <w:t>(pm)</w:t>
            </w:r>
          </w:p>
        </w:tc>
        <w:tc>
          <w:tcPr>
            <w:tcW w:w="591" w:type="dxa"/>
          </w:tcPr>
          <w:p w:rsidR="00D2338F" w:rsidRDefault="000C6B92">
            <w:pPr>
              <w:pStyle w:val="TableParagraph"/>
              <w:spacing w:line="251" w:lineRule="exact"/>
              <w:ind w:left="98"/>
            </w:pPr>
            <w:r>
              <w:t>104</w:t>
            </w:r>
          </w:p>
        </w:tc>
        <w:tc>
          <w:tcPr>
            <w:tcW w:w="676" w:type="dxa"/>
          </w:tcPr>
          <w:p w:rsidR="00D2338F" w:rsidRDefault="000C6B92">
            <w:pPr>
              <w:pStyle w:val="TableParagraph"/>
              <w:spacing w:line="251" w:lineRule="exact"/>
              <w:ind w:left="100"/>
            </w:pPr>
            <w:r>
              <w:t>86</w:t>
            </w:r>
          </w:p>
        </w:tc>
        <w:tc>
          <w:tcPr>
            <w:tcW w:w="676" w:type="dxa"/>
          </w:tcPr>
          <w:p w:rsidR="00D2338F" w:rsidRDefault="000C6B92">
            <w:pPr>
              <w:pStyle w:val="TableParagraph"/>
              <w:spacing w:line="251" w:lineRule="exact"/>
              <w:ind w:left="101"/>
            </w:pPr>
            <w:r>
              <w:t>70</w:t>
            </w:r>
          </w:p>
        </w:tc>
        <w:tc>
          <w:tcPr>
            <w:tcW w:w="676" w:type="dxa"/>
          </w:tcPr>
          <w:p w:rsidR="00D2338F" w:rsidRDefault="000C6B92">
            <w:pPr>
              <w:pStyle w:val="TableParagraph"/>
              <w:spacing w:line="251" w:lineRule="exact"/>
              <w:ind w:left="101"/>
            </w:pPr>
            <w:r>
              <w:t>79</w:t>
            </w:r>
          </w:p>
        </w:tc>
        <w:tc>
          <w:tcPr>
            <w:tcW w:w="676" w:type="dxa"/>
          </w:tcPr>
          <w:p w:rsidR="00D2338F" w:rsidRDefault="000C6B92">
            <w:pPr>
              <w:pStyle w:val="TableParagraph"/>
              <w:spacing w:line="251" w:lineRule="exact"/>
              <w:ind w:left="102"/>
            </w:pPr>
            <w:r>
              <w:rPr>
                <w:w w:val="102"/>
              </w:rPr>
              <w:t>-</w:t>
            </w:r>
          </w:p>
        </w:tc>
        <w:tc>
          <w:tcPr>
            <w:tcW w:w="676" w:type="dxa"/>
          </w:tcPr>
          <w:p w:rsidR="00D2338F" w:rsidRDefault="000C6B92">
            <w:pPr>
              <w:pStyle w:val="TableParagraph"/>
              <w:spacing w:line="251" w:lineRule="exact"/>
              <w:ind w:left="103"/>
            </w:pPr>
            <w:r>
              <w:t>81</w:t>
            </w:r>
          </w:p>
        </w:tc>
        <w:tc>
          <w:tcPr>
            <w:tcW w:w="676" w:type="dxa"/>
          </w:tcPr>
          <w:p w:rsidR="00D2338F" w:rsidRDefault="000C6B92">
            <w:pPr>
              <w:pStyle w:val="TableParagraph"/>
              <w:spacing w:line="251" w:lineRule="exact"/>
              <w:ind w:left="104"/>
            </w:pPr>
            <w:r>
              <w:t>80</w:t>
            </w:r>
          </w:p>
        </w:tc>
        <w:tc>
          <w:tcPr>
            <w:tcW w:w="676" w:type="dxa"/>
          </w:tcPr>
          <w:p w:rsidR="00D2338F" w:rsidRDefault="000C6B92">
            <w:pPr>
              <w:pStyle w:val="TableParagraph"/>
              <w:spacing w:line="251" w:lineRule="exact"/>
              <w:ind w:left="105"/>
            </w:pPr>
            <w:r>
              <w:t>80</w:t>
            </w:r>
          </w:p>
        </w:tc>
        <w:tc>
          <w:tcPr>
            <w:tcW w:w="676" w:type="dxa"/>
          </w:tcPr>
          <w:p w:rsidR="00D2338F" w:rsidRDefault="000C6B92">
            <w:pPr>
              <w:pStyle w:val="TableParagraph"/>
              <w:spacing w:line="251" w:lineRule="exact"/>
              <w:ind w:left="106"/>
            </w:pPr>
            <w:r>
              <w:t>123</w:t>
            </w:r>
          </w:p>
        </w:tc>
        <w:tc>
          <w:tcPr>
            <w:tcW w:w="676" w:type="dxa"/>
          </w:tcPr>
          <w:p w:rsidR="00D2338F" w:rsidRDefault="000C6B92">
            <w:pPr>
              <w:pStyle w:val="TableParagraph"/>
              <w:spacing w:line="251" w:lineRule="exact"/>
              <w:ind w:left="106"/>
            </w:pPr>
            <w:r>
              <w:t>97</w:t>
            </w:r>
          </w:p>
        </w:tc>
      </w:tr>
    </w:tbl>
    <w:p w:rsidR="00D2338F" w:rsidRDefault="00D2338F">
      <w:pPr>
        <w:pStyle w:val="BodyText"/>
        <w:spacing w:before="2"/>
      </w:pPr>
    </w:p>
    <w:p w:rsidR="00D2338F" w:rsidRDefault="000C6B92">
      <w:pPr>
        <w:pStyle w:val="BodyText"/>
        <w:spacing w:line="244" w:lineRule="auto"/>
        <w:ind w:left="423" w:right="731"/>
        <w:jc w:val="both"/>
      </w:pPr>
      <w:r>
        <w:t>As is evident from this table, ionic radii values are showing an irregular trend particularly for the later elements.</w:t>
      </w:r>
    </w:p>
    <w:p w:rsidR="00DF6D23" w:rsidRDefault="00DF6D23">
      <w:pPr>
        <w:pStyle w:val="BodyText"/>
        <w:spacing w:line="244" w:lineRule="auto"/>
        <w:ind w:left="423" w:right="731"/>
        <w:jc w:val="both"/>
      </w:pPr>
    </w:p>
    <w:p w:rsidR="00D2338F" w:rsidRPr="00DF6D23" w:rsidRDefault="000C6B92" w:rsidP="00DF6D23">
      <w:pPr>
        <w:pStyle w:val="Heading3"/>
        <w:tabs>
          <w:tab w:val="left" w:pos="817"/>
        </w:tabs>
        <w:spacing w:before="12"/>
        <w:ind w:left="0"/>
        <w:rPr>
          <w:sz w:val="36"/>
          <w:szCs w:val="36"/>
          <w:u w:val="single"/>
        </w:rPr>
      </w:pPr>
      <w:r w:rsidRPr="00DF6D23">
        <w:rPr>
          <w:sz w:val="36"/>
          <w:szCs w:val="36"/>
          <w:u w:val="single"/>
        </w:rPr>
        <w:t>Melting and Boiling</w:t>
      </w:r>
      <w:r w:rsidRPr="00DF6D23">
        <w:rPr>
          <w:spacing w:val="7"/>
          <w:sz w:val="36"/>
          <w:szCs w:val="36"/>
          <w:u w:val="single"/>
        </w:rPr>
        <w:t xml:space="preserve"> </w:t>
      </w:r>
      <w:r w:rsidRPr="00DF6D23">
        <w:rPr>
          <w:sz w:val="36"/>
          <w:szCs w:val="36"/>
          <w:u w:val="single"/>
        </w:rPr>
        <w:t>Points</w:t>
      </w:r>
    </w:p>
    <w:p w:rsidR="00D2338F" w:rsidRDefault="000C6B92">
      <w:pPr>
        <w:pStyle w:val="BodyText"/>
        <w:spacing w:before="131" w:line="369" w:lineRule="auto"/>
        <w:ind w:left="423" w:right="726" w:firstLine="676"/>
        <w:jc w:val="both"/>
      </w:pPr>
      <w:r>
        <w:t>The melting and boiling points of these elements are generally very  high, almost similar to those of the elements of first transition series except for a few elements which have very high values, e.g., Nb to Ru (see  the  table  given below).  The last element Cd, has exceptionally low value of  melting point  even lower  than that of Zn. This may be attributed to its high atomic volume, almost one and half    times to that of Zn. This results in weaker metallic bonding in the metal lattice of Cd. Melting point values of these elements are as</w:t>
      </w:r>
      <w:r>
        <w:rPr>
          <w:spacing w:val="20"/>
        </w:rPr>
        <w:t xml:space="preserve"> </w:t>
      </w:r>
      <w:r>
        <w:t>follows:</w:t>
      </w:r>
    </w:p>
    <w:p w:rsidR="00D2338F" w:rsidRDefault="00D2338F">
      <w:pPr>
        <w:pStyle w:val="BodyText"/>
        <w:spacing w:before="1" w:after="1"/>
        <w:rPr>
          <w:sz w:val="16"/>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655"/>
        <w:gridCol w:w="698"/>
        <w:gridCol w:w="688"/>
        <w:gridCol w:w="707"/>
        <w:gridCol w:w="733"/>
        <w:gridCol w:w="707"/>
        <w:gridCol w:w="717"/>
        <w:gridCol w:w="707"/>
        <w:gridCol w:w="635"/>
        <w:gridCol w:w="561"/>
      </w:tblGrid>
      <w:tr w:rsidR="00D2338F">
        <w:trPr>
          <w:trHeight w:val="388"/>
        </w:trPr>
        <w:tc>
          <w:tcPr>
            <w:tcW w:w="1560" w:type="dxa"/>
          </w:tcPr>
          <w:p w:rsidR="00D2338F" w:rsidRDefault="000C6B92">
            <w:pPr>
              <w:pStyle w:val="TableParagraph"/>
              <w:spacing w:line="251" w:lineRule="exact"/>
              <w:ind w:left="100"/>
            </w:pPr>
            <w:r>
              <w:t>Element</w:t>
            </w:r>
          </w:p>
        </w:tc>
        <w:tc>
          <w:tcPr>
            <w:tcW w:w="655" w:type="dxa"/>
          </w:tcPr>
          <w:p w:rsidR="00D2338F" w:rsidRDefault="000C6B92">
            <w:pPr>
              <w:pStyle w:val="TableParagraph"/>
              <w:spacing w:line="251" w:lineRule="exact"/>
              <w:ind w:left="102"/>
            </w:pPr>
            <w:r>
              <w:rPr>
                <w:w w:val="102"/>
              </w:rPr>
              <w:t>Y</w:t>
            </w:r>
          </w:p>
        </w:tc>
        <w:tc>
          <w:tcPr>
            <w:tcW w:w="698" w:type="dxa"/>
          </w:tcPr>
          <w:p w:rsidR="00D2338F" w:rsidRDefault="000C6B92">
            <w:pPr>
              <w:pStyle w:val="TableParagraph"/>
              <w:spacing w:line="251" w:lineRule="exact"/>
              <w:ind w:left="100"/>
            </w:pPr>
            <w:r>
              <w:t>Zr</w:t>
            </w:r>
          </w:p>
        </w:tc>
        <w:tc>
          <w:tcPr>
            <w:tcW w:w="688" w:type="dxa"/>
          </w:tcPr>
          <w:p w:rsidR="00D2338F" w:rsidRDefault="000C6B92">
            <w:pPr>
              <w:pStyle w:val="TableParagraph"/>
              <w:spacing w:line="251" w:lineRule="exact"/>
              <w:ind w:left="103"/>
            </w:pPr>
            <w:r>
              <w:t>Nb</w:t>
            </w:r>
          </w:p>
        </w:tc>
        <w:tc>
          <w:tcPr>
            <w:tcW w:w="707" w:type="dxa"/>
          </w:tcPr>
          <w:p w:rsidR="00D2338F" w:rsidRDefault="000C6B92">
            <w:pPr>
              <w:pStyle w:val="TableParagraph"/>
              <w:spacing w:line="251" w:lineRule="exact"/>
              <w:ind w:left="101"/>
            </w:pPr>
            <w:r>
              <w:t>Mo</w:t>
            </w:r>
          </w:p>
        </w:tc>
        <w:tc>
          <w:tcPr>
            <w:tcW w:w="733" w:type="dxa"/>
          </w:tcPr>
          <w:p w:rsidR="00D2338F" w:rsidRDefault="000C6B92">
            <w:pPr>
              <w:pStyle w:val="TableParagraph"/>
              <w:spacing w:line="251" w:lineRule="exact"/>
              <w:ind w:left="102"/>
            </w:pPr>
            <w:r>
              <w:t>Tc</w:t>
            </w:r>
          </w:p>
        </w:tc>
        <w:tc>
          <w:tcPr>
            <w:tcW w:w="707" w:type="dxa"/>
          </w:tcPr>
          <w:p w:rsidR="00D2338F" w:rsidRDefault="000C6B92">
            <w:pPr>
              <w:pStyle w:val="TableParagraph"/>
              <w:spacing w:line="251" w:lineRule="exact"/>
              <w:ind w:left="104"/>
            </w:pPr>
            <w:r>
              <w:t>Ru</w:t>
            </w:r>
          </w:p>
        </w:tc>
        <w:tc>
          <w:tcPr>
            <w:tcW w:w="717" w:type="dxa"/>
          </w:tcPr>
          <w:p w:rsidR="00D2338F" w:rsidRDefault="000C6B92">
            <w:pPr>
              <w:pStyle w:val="TableParagraph"/>
              <w:spacing w:line="251" w:lineRule="exact"/>
              <w:ind w:left="105"/>
            </w:pPr>
            <w:r>
              <w:t>Rh</w:t>
            </w:r>
          </w:p>
        </w:tc>
        <w:tc>
          <w:tcPr>
            <w:tcW w:w="707" w:type="dxa"/>
          </w:tcPr>
          <w:p w:rsidR="00D2338F" w:rsidRDefault="000C6B92">
            <w:pPr>
              <w:pStyle w:val="TableParagraph"/>
              <w:spacing w:line="251" w:lineRule="exact"/>
              <w:ind w:left="105"/>
            </w:pPr>
            <w:r>
              <w:t>Pd</w:t>
            </w:r>
          </w:p>
        </w:tc>
        <w:tc>
          <w:tcPr>
            <w:tcW w:w="635" w:type="dxa"/>
          </w:tcPr>
          <w:p w:rsidR="00D2338F" w:rsidRDefault="000C6B92">
            <w:pPr>
              <w:pStyle w:val="TableParagraph"/>
              <w:spacing w:line="251" w:lineRule="exact"/>
              <w:ind w:left="106"/>
            </w:pPr>
            <w:r>
              <w:t>Ag</w:t>
            </w:r>
          </w:p>
        </w:tc>
        <w:tc>
          <w:tcPr>
            <w:tcW w:w="561" w:type="dxa"/>
          </w:tcPr>
          <w:p w:rsidR="00D2338F" w:rsidRDefault="000C6B92">
            <w:pPr>
              <w:pStyle w:val="TableParagraph"/>
              <w:spacing w:line="251" w:lineRule="exact"/>
              <w:ind w:left="20" w:right="89"/>
              <w:jc w:val="center"/>
            </w:pPr>
            <w:r>
              <w:t>Cd</w:t>
            </w:r>
          </w:p>
        </w:tc>
      </w:tr>
      <w:tr w:rsidR="00D2338F">
        <w:trPr>
          <w:trHeight w:val="777"/>
        </w:trPr>
        <w:tc>
          <w:tcPr>
            <w:tcW w:w="1560" w:type="dxa"/>
          </w:tcPr>
          <w:p w:rsidR="00D2338F" w:rsidRDefault="000C6B92">
            <w:pPr>
              <w:pStyle w:val="TableParagraph"/>
              <w:spacing w:line="251" w:lineRule="exact"/>
              <w:ind w:left="100"/>
            </w:pPr>
            <w:r>
              <w:t>Melting point</w:t>
            </w:r>
          </w:p>
          <w:p w:rsidR="00D2338F" w:rsidRDefault="000C6B92">
            <w:pPr>
              <w:pStyle w:val="TableParagraph"/>
              <w:spacing w:before="136"/>
              <w:ind w:left="100"/>
            </w:pPr>
            <w:r>
              <w:t>(</w:t>
            </w:r>
            <w:r>
              <w:rPr>
                <w:vertAlign w:val="superscript"/>
              </w:rPr>
              <w:t>0</w:t>
            </w:r>
            <w:r>
              <w:t>C)</w:t>
            </w:r>
          </w:p>
        </w:tc>
        <w:tc>
          <w:tcPr>
            <w:tcW w:w="655" w:type="dxa"/>
          </w:tcPr>
          <w:p w:rsidR="00D2338F" w:rsidRDefault="000C6B92">
            <w:pPr>
              <w:pStyle w:val="TableParagraph"/>
              <w:spacing w:line="251" w:lineRule="exact"/>
              <w:ind w:left="102"/>
            </w:pPr>
            <w:r>
              <w:t>1490</w:t>
            </w:r>
          </w:p>
        </w:tc>
        <w:tc>
          <w:tcPr>
            <w:tcW w:w="698" w:type="dxa"/>
          </w:tcPr>
          <w:p w:rsidR="00D2338F" w:rsidRDefault="000C6B92">
            <w:pPr>
              <w:pStyle w:val="TableParagraph"/>
              <w:spacing w:line="251" w:lineRule="exact"/>
              <w:ind w:left="100"/>
            </w:pPr>
            <w:r>
              <w:t>1860</w:t>
            </w:r>
          </w:p>
        </w:tc>
        <w:tc>
          <w:tcPr>
            <w:tcW w:w="688" w:type="dxa"/>
          </w:tcPr>
          <w:p w:rsidR="00D2338F" w:rsidRDefault="000C6B92">
            <w:pPr>
              <w:pStyle w:val="TableParagraph"/>
              <w:spacing w:line="251" w:lineRule="exact"/>
              <w:ind w:left="103"/>
            </w:pPr>
            <w:r>
              <w:t>2415</w:t>
            </w:r>
          </w:p>
        </w:tc>
        <w:tc>
          <w:tcPr>
            <w:tcW w:w="707" w:type="dxa"/>
          </w:tcPr>
          <w:p w:rsidR="00D2338F" w:rsidRDefault="000C6B92">
            <w:pPr>
              <w:pStyle w:val="TableParagraph"/>
              <w:spacing w:line="251" w:lineRule="exact"/>
              <w:ind w:left="101"/>
            </w:pPr>
            <w:r>
              <w:t>2620</w:t>
            </w:r>
          </w:p>
        </w:tc>
        <w:tc>
          <w:tcPr>
            <w:tcW w:w="733" w:type="dxa"/>
          </w:tcPr>
          <w:p w:rsidR="00D2338F" w:rsidRDefault="000C6B92">
            <w:pPr>
              <w:pStyle w:val="TableParagraph"/>
              <w:spacing w:line="251" w:lineRule="exact"/>
              <w:ind w:left="102"/>
            </w:pPr>
            <w:r>
              <w:t>2200</w:t>
            </w:r>
          </w:p>
        </w:tc>
        <w:tc>
          <w:tcPr>
            <w:tcW w:w="707" w:type="dxa"/>
          </w:tcPr>
          <w:p w:rsidR="00D2338F" w:rsidRDefault="000C6B92">
            <w:pPr>
              <w:pStyle w:val="TableParagraph"/>
              <w:spacing w:line="251" w:lineRule="exact"/>
              <w:ind w:left="104"/>
            </w:pPr>
            <w:r>
              <w:t>2450</w:t>
            </w:r>
          </w:p>
        </w:tc>
        <w:tc>
          <w:tcPr>
            <w:tcW w:w="717" w:type="dxa"/>
          </w:tcPr>
          <w:p w:rsidR="00D2338F" w:rsidRDefault="000C6B92">
            <w:pPr>
              <w:pStyle w:val="TableParagraph"/>
              <w:spacing w:line="251" w:lineRule="exact"/>
              <w:ind w:left="105"/>
            </w:pPr>
            <w:r>
              <w:t>1970</w:t>
            </w:r>
          </w:p>
        </w:tc>
        <w:tc>
          <w:tcPr>
            <w:tcW w:w="707" w:type="dxa"/>
          </w:tcPr>
          <w:p w:rsidR="00D2338F" w:rsidRDefault="000C6B92">
            <w:pPr>
              <w:pStyle w:val="TableParagraph"/>
              <w:spacing w:line="251" w:lineRule="exact"/>
              <w:ind w:left="105"/>
            </w:pPr>
            <w:r>
              <w:t>1550</w:t>
            </w:r>
          </w:p>
        </w:tc>
        <w:tc>
          <w:tcPr>
            <w:tcW w:w="635" w:type="dxa"/>
          </w:tcPr>
          <w:p w:rsidR="00D2338F" w:rsidRDefault="000C6B92">
            <w:pPr>
              <w:pStyle w:val="TableParagraph"/>
              <w:spacing w:line="251" w:lineRule="exact"/>
              <w:ind w:left="106"/>
            </w:pPr>
            <w:r>
              <w:t>960</w:t>
            </w:r>
          </w:p>
        </w:tc>
        <w:tc>
          <w:tcPr>
            <w:tcW w:w="561" w:type="dxa"/>
          </w:tcPr>
          <w:p w:rsidR="00D2338F" w:rsidRDefault="000C6B92">
            <w:pPr>
              <w:pStyle w:val="TableParagraph"/>
              <w:spacing w:line="251" w:lineRule="exact"/>
              <w:ind w:left="92" w:right="89"/>
              <w:jc w:val="center"/>
            </w:pPr>
            <w:r>
              <w:t>321</w:t>
            </w:r>
          </w:p>
        </w:tc>
      </w:tr>
    </w:tbl>
    <w:p w:rsidR="00D2338F" w:rsidRDefault="00D2338F">
      <w:pPr>
        <w:pStyle w:val="BodyText"/>
        <w:spacing w:before="7"/>
        <w:rPr>
          <w:sz w:val="33"/>
        </w:rPr>
      </w:pPr>
    </w:p>
    <w:p w:rsidR="00D2338F" w:rsidRDefault="000C6B92">
      <w:pPr>
        <w:pStyle w:val="BodyText"/>
        <w:spacing w:before="1" w:line="369" w:lineRule="auto"/>
        <w:ind w:left="423" w:right="727" w:firstLine="676"/>
        <w:jc w:val="both"/>
      </w:pPr>
      <w:r>
        <w:t>The highest melting point is for Mo followed by Ru and other elements have comparable values of melting point. Cd has the lowest value. These elements  have  very high boiling points, greater than 2200</w:t>
      </w:r>
      <w:r>
        <w:rPr>
          <w:vertAlign w:val="superscript"/>
        </w:rPr>
        <w:t>0</w:t>
      </w:r>
      <w:r>
        <w:t>C except for Cd</w:t>
      </w:r>
      <w:r>
        <w:rPr>
          <w:spacing w:val="37"/>
        </w:rPr>
        <w:t xml:space="preserve"> </w:t>
      </w:r>
      <w:r>
        <w:t>(765</w:t>
      </w:r>
      <w:r>
        <w:rPr>
          <w:vertAlign w:val="superscript"/>
        </w:rPr>
        <w:t>0</w:t>
      </w:r>
      <w:r>
        <w:t>C).</w:t>
      </w:r>
    </w:p>
    <w:p w:rsidR="00D2338F" w:rsidRDefault="000C6B92" w:rsidP="00DF6D23">
      <w:pPr>
        <w:pStyle w:val="Heading3"/>
        <w:tabs>
          <w:tab w:val="left" w:pos="762"/>
        </w:tabs>
        <w:spacing w:before="4"/>
        <w:ind w:left="339"/>
        <w:rPr>
          <w:sz w:val="36"/>
          <w:szCs w:val="36"/>
          <w:u w:val="single"/>
        </w:rPr>
      </w:pPr>
      <w:r w:rsidRPr="00DF6D23">
        <w:rPr>
          <w:sz w:val="36"/>
          <w:szCs w:val="36"/>
          <w:u w:val="single"/>
        </w:rPr>
        <w:t>Ionization Energies and</w:t>
      </w:r>
      <w:r w:rsidRPr="00DF6D23">
        <w:rPr>
          <w:spacing w:val="7"/>
          <w:sz w:val="36"/>
          <w:szCs w:val="36"/>
          <w:u w:val="single"/>
        </w:rPr>
        <w:t xml:space="preserve"> </w:t>
      </w:r>
      <w:r w:rsidRPr="00DF6D23">
        <w:rPr>
          <w:sz w:val="36"/>
          <w:szCs w:val="36"/>
          <w:u w:val="single"/>
        </w:rPr>
        <w:t>Reactivity</w:t>
      </w:r>
    </w:p>
    <w:p w:rsidR="00DF6D23" w:rsidRPr="00DF6D23" w:rsidRDefault="00DF6D23" w:rsidP="00DF6D23">
      <w:pPr>
        <w:pStyle w:val="Heading3"/>
        <w:tabs>
          <w:tab w:val="left" w:pos="762"/>
        </w:tabs>
        <w:spacing w:before="4"/>
        <w:ind w:left="761"/>
        <w:rPr>
          <w:sz w:val="36"/>
          <w:szCs w:val="36"/>
          <w:u w:val="single"/>
        </w:rPr>
      </w:pPr>
    </w:p>
    <w:p w:rsidR="00D2338F" w:rsidRDefault="000C6B92">
      <w:pPr>
        <w:pStyle w:val="BodyText"/>
        <w:spacing w:before="132" w:line="369" w:lineRule="auto"/>
        <w:ind w:left="423" w:right="729" w:firstLine="676"/>
        <w:jc w:val="both"/>
      </w:pPr>
      <w:r>
        <w:t>The first ionization energies of these elements  generally  increase  from  the first element to the last one with a marked drop in the value for Ag. The values are listed below:</w:t>
      </w:r>
    </w:p>
    <w:p w:rsidR="00DF6D23" w:rsidRDefault="00DF6D23">
      <w:pPr>
        <w:pStyle w:val="BodyText"/>
        <w:spacing w:before="132" w:line="369" w:lineRule="auto"/>
        <w:ind w:left="423" w:right="729" w:firstLine="676"/>
        <w:jc w:val="both"/>
      </w:pPr>
    </w:p>
    <w:p w:rsidR="00DF6D23" w:rsidRDefault="00DF6D23">
      <w:pPr>
        <w:pStyle w:val="BodyText"/>
        <w:spacing w:before="132" w:line="369" w:lineRule="auto"/>
        <w:ind w:left="423" w:right="729" w:firstLine="676"/>
        <w:jc w:val="both"/>
      </w:pPr>
    </w:p>
    <w:p w:rsidR="00D2338F" w:rsidRDefault="00D2338F">
      <w:pPr>
        <w:pStyle w:val="BodyText"/>
        <w:spacing w:before="4"/>
        <w:rPr>
          <w:sz w:val="16"/>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578"/>
        <w:gridCol w:w="628"/>
        <w:gridCol w:w="690"/>
        <w:gridCol w:w="709"/>
        <w:gridCol w:w="737"/>
        <w:gridCol w:w="711"/>
        <w:gridCol w:w="721"/>
        <w:gridCol w:w="711"/>
        <w:gridCol w:w="641"/>
        <w:gridCol w:w="564"/>
      </w:tblGrid>
      <w:tr w:rsidR="00D2338F">
        <w:trPr>
          <w:trHeight w:val="387"/>
        </w:trPr>
        <w:tc>
          <w:tcPr>
            <w:tcW w:w="1690" w:type="dxa"/>
          </w:tcPr>
          <w:p w:rsidR="00D2338F" w:rsidRDefault="000C6B92">
            <w:pPr>
              <w:pStyle w:val="TableParagraph"/>
              <w:spacing w:line="249" w:lineRule="exact"/>
              <w:ind w:left="100"/>
            </w:pPr>
            <w:r>
              <w:t>Element</w:t>
            </w:r>
          </w:p>
        </w:tc>
        <w:tc>
          <w:tcPr>
            <w:tcW w:w="578" w:type="dxa"/>
          </w:tcPr>
          <w:p w:rsidR="00D2338F" w:rsidRDefault="000C6B92">
            <w:pPr>
              <w:pStyle w:val="TableParagraph"/>
              <w:spacing w:line="249" w:lineRule="exact"/>
              <w:ind w:left="99"/>
            </w:pPr>
            <w:r>
              <w:rPr>
                <w:w w:val="102"/>
              </w:rPr>
              <w:t>Y</w:t>
            </w:r>
          </w:p>
        </w:tc>
        <w:tc>
          <w:tcPr>
            <w:tcW w:w="628" w:type="dxa"/>
          </w:tcPr>
          <w:p w:rsidR="00D2338F" w:rsidRDefault="000C6B92">
            <w:pPr>
              <w:pStyle w:val="TableParagraph"/>
              <w:spacing w:line="249" w:lineRule="exact"/>
              <w:ind w:left="100"/>
            </w:pPr>
            <w:r>
              <w:t>Zr</w:t>
            </w:r>
          </w:p>
        </w:tc>
        <w:tc>
          <w:tcPr>
            <w:tcW w:w="690" w:type="dxa"/>
          </w:tcPr>
          <w:p w:rsidR="00D2338F" w:rsidRDefault="000C6B92">
            <w:pPr>
              <w:pStyle w:val="TableParagraph"/>
              <w:spacing w:line="249" w:lineRule="exact"/>
              <w:ind w:left="98"/>
            </w:pPr>
            <w:r>
              <w:t>Nb</w:t>
            </w:r>
          </w:p>
        </w:tc>
        <w:tc>
          <w:tcPr>
            <w:tcW w:w="709" w:type="dxa"/>
          </w:tcPr>
          <w:p w:rsidR="00D2338F" w:rsidRDefault="000C6B92">
            <w:pPr>
              <w:pStyle w:val="TableParagraph"/>
              <w:spacing w:line="249" w:lineRule="exact"/>
              <w:ind w:left="100"/>
            </w:pPr>
            <w:r>
              <w:t>Mo</w:t>
            </w:r>
          </w:p>
        </w:tc>
        <w:tc>
          <w:tcPr>
            <w:tcW w:w="737" w:type="dxa"/>
          </w:tcPr>
          <w:p w:rsidR="00D2338F" w:rsidRDefault="000C6B92">
            <w:pPr>
              <w:pStyle w:val="TableParagraph"/>
              <w:spacing w:line="249" w:lineRule="exact"/>
              <w:ind w:left="99"/>
            </w:pPr>
            <w:r>
              <w:t>Tc</w:t>
            </w:r>
          </w:p>
        </w:tc>
        <w:tc>
          <w:tcPr>
            <w:tcW w:w="711" w:type="dxa"/>
          </w:tcPr>
          <w:p w:rsidR="00D2338F" w:rsidRDefault="000C6B92">
            <w:pPr>
              <w:pStyle w:val="TableParagraph"/>
              <w:spacing w:line="249" w:lineRule="exact"/>
              <w:ind w:left="98"/>
            </w:pPr>
            <w:r>
              <w:t>Ru</w:t>
            </w:r>
          </w:p>
        </w:tc>
        <w:tc>
          <w:tcPr>
            <w:tcW w:w="721" w:type="dxa"/>
          </w:tcPr>
          <w:p w:rsidR="00D2338F" w:rsidRDefault="000C6B92">
            <w:pPr>
              <w:pStyle w:val="TableParagraph"/>
              <w:spacing w:line="249" w:lineRule="exact"/>
              <w:ind w:left="98"/>
            </w:pPr>
            <w:r>
              <w:t>Ph</w:t>
            </w:r>
          </w:p>
        </w:tc>
        <w:tc>
          <w:tcPr>
            <w:tcW w:w="711" w:type="dxa"/>
          </w:tcPr>
          <w:p w:rsidR="00D2338F" w:rsidRDefault="000C6B92">
            <w:pPr>
              <w:pStyle w:val="TableParagraph"/>
              <w:spacing w:line="249" w:lineRule="exact"/>
              <w:ind w:left="97"/>
            </w:pPr>
            <w:r>
              <w:t>Pd</w:t>
            </w:r>
          </w:p>
        </w:tc>
        <w:tc>
          <w:tcPr>
            <w:tcW w:w="641" w:type="dxa"/>
          </w:tcPr>
          <w:p w:rsidR="00D2338F" w:rsidRDefault="000C6B92">
            <w:pPr>
              <w:pStyle w:val="TableParagraph"/>
              <w:spacing w:line="249" w:lineRule="exact"/>
              <w:ind w:left="96"/>
            </w:pPr>
            <w:r>
              <w:t>Ag</w:t>
            </w:r>
          </w:p>
        </w:tc>
        <w:tc>
          <w:tcPr>
            <w:tcW w:w="564" w:type="dxa"/>
          </w:tcPr>
          <w:p w:rsidR="00D2338F" w:rsidRDefault="000C6B92">
            <w:pPr>
              <w:pStyle w:val="TableParagraph"/>
              <w:spacing w:line="249" w:lineRule="exact"/>
              <w:ind w:left="94"/>
            </w:pPr>
            <w:r>
              <w:t>Cd</w:t>
            </w:r>
          </w:p>
        </w:tc>
      </w:tr>
      <w:tr w:rsidR="00D2338F">
        <w:trPr>
          <w:trHeight w:val="779"/>
        </w:trPr>
        <w:tc>
          <w:tcPr>
            <w:tcW w:w="1690" w:type="dxa"/>
          </w:tcPr>
          <w:p w:rsidR="00D2338F" w:rsidRDefault="000C6B92">
            <w:pPr>
              <w:pStyle w:val="TableParagraph"/>
              <w:spacing w:line="250" w:lineRule="exact"/>
              <w:ind w:left="100"/>
            </w:pPr>
            <w:r>
              <w:t>First ionization</w:t>
            </w:r>
          </w:p>
          <w:p w:rsidR="00D2338F" w:rsidRDefault="000C6B92">
            <w:pPr>
              <w:pStyle w:val="TableParagraph"/>
              <w:spacing w:before="138"/>
              <w:ind w:left="100"/>
            </w:pPr>
            <w:r>
              <w:t>energy (kJ/mol)</w:t>
            </w:r>
          </w:p>
        </w:tc>
        <w:tc>
          <w:tcPr>
            <w:tcW w:w="578" w:type="dxa"/>
          </w:tcPr>
          <w:p w:rsidR="00D2338F" w:rsidRDefault="000C6B92">
            <w:pPr>
              <w:pStyle w:val="TableParagraph"/>
              <w:spacing w:line="250" w:lineRule="exact"/>
              <w:ind w:left="100"/>
            </w:pPr>
            <w:r>
              <w:t>636</w:t>
            </w:r>
          </w:p>
        </w:tc>
        <w:tc>
          <w:tcPr>
            <w:tcW w:w="628" w:type="dxa"/>
          </w:tcPr>
          <w:p w:rsidR="00D2338F" w:rsidRDefault="000C6B92">
            <w:pPr>
              <w:pStyle w:val="TableParagraph"/>
              <w:spacing w:line="250" w:lineRule="exact"/>
              <w:ind w:left="100"/>
            </w:pPr>
            <w:r>
              <w:t>669</w:t>
            </w:r>
          </w:p>
        </w:tc>
        <w:tc>
          <w:tcPr>
            <w:tcW w:w="690" w:type="dxa"/>
          </w:tcPr>
          <w:p w:rsidR="00D2338F" w:rsidRDefault="000C6B92">
            <w:pPr>
              <w:pStyle w:val="TableParagraph"/>
              <w:spacing w:line="250" w:lineRule="exact"/>
              <w:ind w:left="98"/>
            </w:pPr>
            <w:r>
              <w:t>664</w:t>
            </w:r>
          </w:p>
        </w:tc>
        <w:tc>
          <w:tcPr>
            <w:tcW w:w="709" w:type="dxa"/>
          </w:tcPr>
          <w:p w:rsidR="00D2338F" w:rsidRDefault="000C6B92">
            <w:pPr>
              <w:pStyle w:val="TableParagraph"/>
              <w:spacing w:line="250" w:lineRule="exact"/>
              <w:ind w:left="100"/>
            </w:pPr>
            <w:r>
              <w:t>694</w:t>
            </w:r>
          </w:p>
        </w:tc>
        <w:tc>
          <w:tcPr>
            <w:tcW w:w="737" w:type="dxa"/>
          </w:tcPr>
          <w:p w:rsidR="00D2338F" w:rsidRDefault="000C6B92">
            <w:pPr>
              <w:pStyle w:val="TableParagraph"/>
              <w:spacing w:line="250" w:lineRule="exact"/>
              <w:ind w:left="99"/>
            </w:pPr>
            <w:r>
              <w:t>698</w:t>
            </w:r>
          </w:p>
        </w:tc>
        <w:tc>
          <w:tcPr>
            <w:tcW w:w="711" w:type="dxa"/>
          </w:tcPr>
          <w:p w:rsidR="00D2338F" w:rsidRDefault="000C6B92">
            <w:pPr>
              <w:pStyle w:val="TableParagraph"/>
              <w:spacing w:line="250" w:lineRule="exact"/>
              <w:ind w:left="98"/>
            </w:pPr>
            <w:r>
              <w:t>724</w:t>
            </w:r>
          </w:p>
        </w:tc>
        <w:tc>
          <w:tcPr>
            <w:tcW w:w="721" w:type="dxa"/>
          </w:tcPr>
          <w:p w:rsidR="00D2338F" w:rsidRDefault="000C6B92">
            <w:pPr>
              <w:pStyle w:val="TableParagraph"/>
              <w:spacing w:line="250" w:lineRule="exact"/>
              <w:ind w:left="98"/>
            </w:pPr>
            <w:r>
              <w:t>745</w:t>
            </w:r>
          </w:p>
        </w:tc>
        <w:tc>
          <w:tcPr>
            <w:tcW w:w="711" w:type="dxa"/>
          </w:tcPr>
          <w:p w:rsidR="00D2338F" w:rsidRDefault="000C6B92">
            <w:pPr>
              <w:pStyle w:val="TableParagraph"/>
              <w:spacing w:line="250" w:lineRule="exact"/>
              <w:ind w:left="97"/>
            </w:pPr>
            <w:r>
              <w:t>803</w:t>
            </w:r>
          </w:p>
        </w:tc>
        <w:tc>
          <w:tcPr>
            <w:tcW w:w="641" w:type="dxa"/>
          </w:tcPr>
          <w:p w:rsidR="00D2338F" w:rsidRDefault="000C6B92">
            <w:pPr>
              <w:pStyle w:val="TableParagraph"/>
              <w:spacing w:line="250" w:lineRule="exact"/>
              <w:ind w:left="96"/>
            </w:pPr>
            <w:r>
              <w:t>732</w:t>
            </w:r>
          </w:p>
        </w:tc>
        <w:tc>
          <w:tcPr>
            <w:tcW w:w="564" w:type="dxa"/>
          </w:tcPr>
          <w:p w:rsidR="00D2338F" w:rsidRDefault="000C6B92">
            <w:pPr>
              <w:pStyle w:val="TableParagraph"/>
              <w:spacing w:line="250" w:lineRule="exact"/>
              <w:ind w:left="94"/>
            </w:pPr>
            <w:r>
              <w:t>866</w:t>
            </w:r>
          </w:p>
        </w:tc>
      </w:tr>
    </w:tbl>
    <w:p w:rsidR="00D2338F" w:rsidRDefault="00D2338F">
      <w:pPr>
        <w:spacing w:line="250" w:lineRule="exact"/>
      </w:pPr>
    </w:p>
    <w:p w:rsidR="00D2338F" w:rsidRDefault="00D2338F">
      <w:pPr>
        <w:pStyle w:val="BodyText"/>
        <w:spacing w:before="9"/>
        <w:rPr>
          <w:sz w:val="15"/>
        </w:rPr>
      </w:pPr>
    </w:p>
    <w:p w:rsidR="00D2338F" w:rsidRDefault="000C6B92">
      <w:pPr>
        <w:pStyle w:val="BodyText"/>
        <w:spacing w:before="96" w:line="369" w:lineRule="auto"/>
        <w:ind w:left="423" w:right="726" w:firstLine="676"/>
        <w:jc w:val="both"/>
      </w:pPr>
      <w:r>
        <w:t>These high values of first ionization energies can be correlated with the values of atomic radii which generally decrease along the series and the screening effect increases; therefore, the elements accordingly have  higher values.  For  Ag low value  is attributed to slightly higher atomic radius and availability of a single 5s electron. Appreciably higher value of ionization energy for Cd is due to the stability associated with filled 4d and 5s subshells</w:t>
      </w:r>
      <w:r>
        <w:rPr>
          <w:spacing w:val="9"/>
        </w:rPr>
        <w:t xml:space="preserve"> </w:t>
      </w:r>
      <w:r>
        <w:t>(4d</w:t>
      </w:r>
      <w:r>
        <w:rPr>
          <w:vertAlign w:val="superscript"/>
        </w:rPr>
        <w:t>10</w:t>
      </w:r>
      <w:r>
        <w:t>5s</w:t>
      </w:r>
      <w:r>
        <w:rPr>
          <w:vertAlign w:val="superscript"/>
        </w:rPr>
        <w:t>2</w:t>
      </w:r>
      <w:r>
        <w:t>).</w:t>
      </w:r>
    </w:p>
    <w:p w:rsidR="00D2338F" w:rsidRDefault="000C6B92">
      <w:pPr>
        <w:pStyle w:val="BodyText"/>
        <w:spacing w:before="185" w:line="369" w:lineRule="auto"/>
        <w:ind w:left="423" w:right="727"/>
        <w:jc w:val="both"/>
      </w:pPr>
      <w:r>
        <w:t>As discussed in section 1.3 above, various factors are responsible for low reactivity of the elements of second transition series. They are even less reactive than those of the first transition series.</w:t>
      </w:r>
    </w:p>
    <w:p w:rsidR="007F77CF" w:rsidRPr="007F77CF" w:rsidRDefault="007F77CF" w:rsidP="007F77CF">
      <w:pPr>
        <w:pStyle w:val="Heading3"/>
        <w:tabs>
          <w:tab w:val="left" w:pos="762"/>
        </w:tabs>
        <w:spacing w:before="7"/>
        <w:ind w:left="761"/>
        <w:rPr>
          <w:sz w:val="36"/>
          <w:szCs w:val="36"/>
          <w:u w:val="single"/>
        </w:rPr>
      </w:pPr>
      <w:r w:rsidRPr="007F77CF">
        <w:rPr>
          <w:sz w:val="36"/>
          <w:szCs w:val="36"/>
          <w:u w:val="single"/>
        </w:rPr>
        <w:t>Standard Electrode Potentials and Reducing</w:t>
      </w:r>
      <w:r w:rsidRPr="007F77CF">
        <w:rPr>
          <w:spacing w:val="21"/>
          <w:sz w:val="36"/>
          <w:szCs w:val="36"/>
          <w:u w:val="single"/>
        </w:rPr>
        <w:t xml:space="preserve"> </w:t>
      </w:r>
      <w:r w:rsidRPr="007F77CF">
        <w:rPr>
          <w:sz w:val="36"/>
          <w:szCs w:val="36"/>
          <w:u w:val="single"/>
        </w:rPr>
        <w:t>Properties</w:t>
      </w:r>
    </w:p>
    <w:p w:rsidR="007F77CF" w:rsidRDefault="007F77CF" w:rsidP="007F77CF">
      <w:pPr>
        <w:pStyle w:val="BodyText"/>
        <w:spacing w:before="129" w:line="369" w:lineRule="auto"/>
        <w:ind w:left="423" w:right="726" w:firstLine="676"/>
        <w:jc w:val="both"/>
      </w:pPr>
      <w:r>
        <w:t>As is well known that the standard electrode potential (reduction) is related  with the reducing properties of the elements, in general. Metals with negative values   of standard electrode potential as compared to standard  hydrogen electrode for which E</w:t>
      </w:r>
      <w:r>
        <w:rPr>
          <w:vertAlign w:val="superscript"/>
        </w:rPr>
        <w:t>0</w:t>
      </w:r>
      <w:r>
        <w:t xml:space="preserve"> value is taken as zero, act as reducing agents. Such metals can displace  hydrogen gas from dilute acids. For the metals with negative E</w:t>
      </w:r>
      <w:r>
        <w:rPr>
          <w:vertAlign w:val="superscript"/>
        </w:rPr>
        <w:t>0</w:t>
      </w:r>
      <w:r>
        <w:t xml:space="preserve"> values but not reacting with acids, some other factors also play an import role such as formation of protective coating on the metal surface and making it unreactive. Strong reducing properties of metals make them displace other metal ions from their solutions. Though standard electrode potential values are available only for a few elements of this series,  these    are given</w:t>
      </w:r>
      <w:r>
        <w:rPr>
          <w:spacing w:val="5"/>
        </w:rPr>
        <w:t xml:space="preserve"> </w:t>
      </w:r>
      <w:r>
        <w:t>below:</w:t>
      </w:r>
    </w:p>
    <w:p w:rsidR="007F77CF" w:rsidRDefault="007F77CF" w:rsidP="007F77CF">
      <w:pPr>
        <w:pStyle w:val="BodyText"/>
        <w:spacing w:line="350" w:lineRule="auto"/>
        <w:ind w:left="761" w:right="2170"/>
        <w:jc w:val="both"/>
      </w:pPr>
      <w:r>
        <w:t>Cd</w:t>
      </w:r>
      <w:r>
        <w:rPr>
          <w:vertAlign w:val="superscript"/>
        </w:rPr>
        <w:t>2+</w:t>
      </w:r>
      <w:r>
        <w:t xml:space="preserve"> + 2e </w:t>
      </w:r>
      <w:r>
        <w:rPr>
          <w:rFonts w:ascii="Calibri" w:hAnsi="Calibri"/>
        </w:rPr>
        <w:t xml:space="preserve">→ </w:t>
      </w:r>
      <w:r>
        <w:t>Cd, E</w:t>
      </w:r>
      <w:r>
        <w:rPr>
          <w:vertAlign w:val="superscript"/>
        </w:rPr>
        <w:t>0</w:t>
      </w:r>
      <w:r>
        <w:t xml:space="preserve"> = - 0.40 V (can displace H</w:t>
      </w:r>
      <w:r>
        <w:rPr>
          <w:vertAlign w:val="subscript"/>
        </w:rPr>
        <w:t>2</w:t>
      </w:r>
      <w:r>
        <w:t xml:space="preserve"> from dilute acids) Ag</w:t>
      </w:r>
      <w:r>
        <w:rPr>
          <w:vertAlign w:val="superscript"/>
        </w:rPr>
        <w:t>+</w:t>
      </w:r>
      <w:r>
        <w:t xml:space="preserve"> + e </w:t>
      </w:r>
      <w:r>
        <w:rPr>
          <w:rFonts w:ascii="Calibri" w:hAnsi="Calibri"/>
        </w:rPr>
        <w:t xml:space="preserve">→ </w:t>
      </w:r>
      <w:r>
        <w:t>Ag, E</w:t>
      </w:r>
      <w:r>
        <w:rPr>
          <w:vertAlign w:val="superscript"/>
        </w:rPr>
        <w:t>0</w:t>
      </w:r>
      <w:r>
        <w:t xml:space="preserve"> = + 0.80 V (does not react with dilute acids)</w:t>
      </w:r>
    </w:p>
    <w:p w:rsidR="007F77CF" w:rsidRDefault="007F77CF" w:rsidP="007F77CF">
      <w:pPr>
        <w:pStyle w:val="BodyText"/>
        <w:spacing w:line="369" w:lineRule="auto"/>
        <w:ind w:left="423" w:right="728"/>
        <w:jc w:val="both"/>
      </w:pPr>
      <w:r>
        <w:t>From the above, it can be concluded that Cd</w:t>
      </w:r>
      <w:r>
        <w:rPr>
          <w:vertAlign w:val="superscript"/>
        </w:rPr>
        <w:t>2+</w:t>
      </w:r>
      <w:r>
        <w:t xml:space="preserve"> ions can give up the electrons and act    as reducing agents while Ag</w:t>
      </w:r>
      <w:r>
        <w:rPr>
          <w:vertAlign w:val="superscript"/>
        </w:rPr>
        <w:t>+</w:t>
      </w:r>
      <w:r>
        <w:t xml:space="preserve"> ions do not give the electrons, rather take up  the  electrons</w:t>
      </w:r>
      <w:r>
        <w:rPr>
          <w:spacing w:val="8"/>
        </w:rPr>
        <w:t xml:space="preserve"> </w:t>
      </w:r>
      <w:r>
        <w:t>easily.</w:t>
      </w:r>
      <w:r>
        <w:rPr>
          <w:spacing w:val="11"/>
        </w:rPr>
        <w:t xml:space="preserve"> </w:t>
      </w:r>
      <w:r>
        <w:t>Hence,</w:t>
      </w:r>
      <w:r>
        <w:rPr>
          <w:spacing w:val="8"/>
        </w:rPr>
        <w:t xml:space="preserve"> </w:t>
      </w:r>
      <w:r>
        <w:t>act</w:t>
      </w:r>
      <w:r>
        <w:rPr>
          <w:spacing w:val="10"/>
        </w:rPr>
        <w:t xml:space="preserve"> </w:t>
      </w:r>
      <w:r>
        <w:t>as</w:t>
      </w:r>
      <w:r>
        <w:rPr>
          <w:spacing w:val="8"/>
        </w:rPr>
        <w:t xml:space="preserve"> </w:t>
      </w:r>
      <w:r>
        <w:t>oxidizing</w:t>
      </w:r>
      <w:r>
        <w:rPr>
          <w:spacing w:val="8"/>
        </w:rPr>
        <w:t xml:space="preserve"> </w:t>
      </w:r>
      <w:r>
        <w:t>agents</w:t>
      </w:r>
      <w:r>
        <w:rPr>
          <w:spacing w:val="8"/>
        </w:rPr>
        <w:t xml:space="preserve"> </w:t>
      </w:r>
      <w:r>
        <w:t>when</w:t>
      </w:r>
      <w:r>
        <w:rPr>
          <w:spacing w:val="10"/>
        </w:rPr>
        <w:t xml:space="preserve"> </w:t>
      </w:r>
      <w:r>
        <w:t>react</w:t>
      </w:r>
      <w:r>
        <w:rPr>
          <w:spacing w:val="10"/>
        </w:rPr>
        <w:t xml:space="preserve"> </w:t>
      </w:r>
      <w:r>
        <w:t>with</w:t>
      </w:r>
      <w:r>
        <w:rPr>
          <w:spacing w:val="9"/>
        </w:rPr>
        <w:t xml:space="preserve"> </w:t>
      </w:r>
      <w:r>
        <w:t>reducing</w:t>
      </w:r>
      <w:r>
        <w:rPr>
          <w:spacing w:val="8"/>
        </w:rPr>
        <w:t xml:space="preserve"> </w:t>
      </w:r>
      <w:r>
        <w:t>ions,</w:t>
      </w:r>
      <w:r>
        <w:rPr>
          <w:spacing w:val="8"/>
        </w:rPr>
        <w:t xml:space="preserve"> </w:t>
      </w:r>
      <w:r>
        <w:t>e.g.,</w:t>
      </w:r>
    </w:p>
    <w:p w:rsidR="007F77CF" w:rsidRDefault="007F77CF" w:rsidP="007F77CF">
      <w:pPr>
        <w:pStyle w:val="BodyText"/>
        <w:spacing w:line="262" w:lineRule="exact"/>
        <w:ind w:left="761"/>
        <w:jc w:val="both"/>
      </w:pPr>
      <w:r>
        <w:rPr>
          <w:w w:val="105"/>
        </w:rPr>
        <w:t>Zn + 2Ag</w:t>
      </w:r>
      <w:r>
        <w:rPr>
          <w:w w:val="105"/>
          <w:vertAlign w:val="superscript"/>
        </w:rPr>
        <w:t>+</w:t>
      </w:r>
      <w:r>
        <w:rPr>
          <w:w w:val="105"/>
        </w:rPr>
        <w:t xml:space="preserve"> </w:t>
      </w:r>
      <w:r>
        <w:rPr>
          <w:rFonts w:ascii="Calibri" w:hAnsi="Calibri"/>
          <w:w w:val="105"/>
        </w:rPr>
        <w:t xml:space="preserve">→ </w:t>
      </w:r>
      <w:r>
        <w:rPr>
          <w:w w:val="105"/>
        </w:rPr>
        <w:t>Zn</w:t>
      </w:r>
      <w:r>
        <w:rPr>
          <w:w w:val="105"/>
          <w:vertAlign w:val="superscript"/>
        </w:rPr>
        <w:t>2+</w:t>
      </w:r>
      <w:r>
        <w:rPr>
          <w:w w:val="105"/>
        </w:rPr>
        <w:t xml:space="preserve"> + 2Ag.</w:t>
      </w:r>
    </w:p>
    <w:p w:rsidR="007F77CF" w:rsidRDefault="007F77CF">
      <w:pPr>
        <w:pStyle w:val="BodyText"/>
        <w:spacing w:before="185" w:line="369" w:lineRule="auto"/>
        <w:ind w:left="423" w:right="727"/>
        <w:jc w:val="both"/>
      </w:pPr>
    </w:p>
    <w:sectPr w:rsidR="007F77CF" w:rsidSect="00D2338F">
      <w:pgSz w:w="12240" w:h="15840"/>
      <w:pgMar w:top="960" w:right="1600" w:bottom="1320" w:left="1720" w:header="686" w:footer="11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FCD" w:rsidRDefault="00F81FCD" w:rsidP="00D2338F">
      <w:r>
        <w:separator/>
      </w:r>
    </w:p>
  </w:endnote>
  <w:endnote w:type="continuationSeparator" w:id="1">
    <w:p w:rsidR="00F81FCD" w:rsidRDefault="00F81FCD" w:rsidP="00D23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FCD" w:rsidRDefault="00F81FCD" w:rsidP="00D2338F">
      <w:r>
        <w:separator/>
      </w:r>
    </w:p>
  </w:footnote>
  <w:footnote w:type="continuationSeparator" w:id="1">
    <w:p w:rsidR="00F81FCD" w:rsidRDefault="00F81FCD" w:rsidP="00D233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31FA6"/>
    <w:multiLevelType w:val="hybridMultilevel"/>
    <w:tmpl w:val="999C6592"/>
    <w:lvl w:ilvl="0" w:tplc="09CE9AF0">
      <w:start w:val="1"/>
      <w:numFmt w:val="decimal"/>
      <w:lvlText w:val="%1."/>
      <w:lvlJc w:val="left"/>
      <w:pPr>
        <w:ind w:left="1100" w:hanging="339"/>
        <w:jc w:val="left"/>
      </w:pPr>
      <w:rPr>
        <w:rFonts w:ascii="Times New Roman" w:eastAsia="Times New Roman" w:hAnsi="Times New Roman" w:cs="Times New Roman" w:hint="default"/>
        <w:w w:val="102"/>
        <w:sz w:val="22"/>
        <w:szCs w:val="22"/>
        <w:lang w:val="en-US" w:eastAsia="en-US" w:bidi="en-US"/>
      </w:rPr>
    </w:lvl>
    <w:lvl w:ilvl="1" w:tplc="6518D700">
      <w:numFmt w:val="bullet"/>
      <w:lvlText w:val="•"/>
      <w:lvlJc w:val="left"/>
      <w:pPr>
        <w:ind w:left="1882" w:hanging="339"/>
      </w:pPr>
      <w:rPr>
        <w:rFonts w:hint="default"/>
        <w:lang w:val="en-US" w:eastAsia="en-US" w:bidi="en-US"/>
      </w:rPr>
    </w:lvl>
    <w:lvl w:ilvl="2" w:tplc="BB3C6D34">
      <w:numFmt w:val="bullet"/>
      <w:lvlText w:val="•"/>
      <w:lvlJc w:val="left"/>
      <w:pPr>
        <w:ind w:left="2664" w:hanging="339"/>
      </w:pPr>
      <w:rPr>
        <w:rFonts w:hint="default"/>
        <w:lang w:val="en-US" w:eastAsia="en-US" w:bidi="en-US"/>
      </w:rPr>
    </w:lvl>
    <w:lvl w:ilvl="3" w:tplc="C3D0AA3E">
      <w:numFmt w:val="bullet"/>
      <w:lvlText w:val="•"/>
      <w:lvlJc w:val="left"/>
      <w:pPr>
        <w:ind w:left="3446" w:hanging="339"/>
      </w:pPr>
      <w:rPr>
        <w:rFonts w:hint="default"/>
        <w:lang w:val="en-US" w:eastAsia="en-US" w:bidi="en-US"/>
      </w:rPr>
    </w:lvl>
    <w:lvl w:ilvl="4" w:tplc="9D22CEE2">
      <w:numFmt w:val="bullet"/>
      <w:lvlText w:val="•"/>
      <w:lvlJc w:val="left"/>
      <w:pPr>
        <w:ind w:left="4228" w:hanging="339"/>
      </w:pPr>
      <w:rPr>
        <w:rFonts w:hint="default"/>
        <w:lang w:val="en-US" w:eastAsia="en-US" w:bidi="en-US"/>
      </w:rPr>
    </w:lvl>
    <w:lvl w:ilvl="5" w:tplc="554007AC">
      <w:numFmt w:val="bullet"/>
      <w:lvlText w:val="•"/>
      <w:lvlJc w:val="left"/>
      <w:pPr>
        <w:ind w:left="5010" w:hanging="339"/>
      </w:pPr>
      <w:rPr>
        <w:rFonts w:hint="default"/>
        <w:lang w:val="en-US" w:eastAsia="en-US" w:bidi="en-US"/>
      </w:rPr>
    </w:lvl>
    <w:lvl w:ilvl="6" w:tplc="CBE84148">
      <w:numFmt w:val="bullet"/>
      <w:lvlText w:val="•"/>
      <w:lvlJc w:val="left"/>
      <w:pPr>
        <w:ind w:left="5792" w:hanging="339"/>
      </w:pPr>
      <w:rPr>
        <w:rFonts w:hint="default"/>
        <w:lang w:val="en-US" w:eastAsia="en-US" w:bidi="en-US"/>
      </w:rPr>
    </w:lvl>
    <w:lvl w:ilvl="7" w:tplc="B83C5DC8">
      <w:numFmt w:val="bullet"/>
      <w:lvlText w:val="•"/>
      <w:lvlJc w:val="left"/>
      <w:pPr>
        <w:ind w:left="6574" w:hanging="339"/>
      </w:pPr>
      <w:rPr>
        <w:rFonts w:hint="default"/>
        <w:lang w:val="en-US" w:eastAsia="en-US" w:bidi="en-US"/>
      </w:rPr>
    </w:lvl>
    <w:lvl w:ilvl="8" w:tplc="5A4204DC">
      <w:numFmt w:val="bullet"/>
      <w:lvlText w:val="•"/>
      <w:lvlJc w:val="left"/>
      <w:pPr>
        <w:ind w:left="7356" w:hanging="339"/>
      </w:pPr>
      <w:rPr>
        <w:rFonts w:hint="default"/>
        <w:lang w:val="en-US" w:eastAsia="en-US" w:bidi="en-US"/>
      </w:rPr>
    </w:lvl>
  </w:abstractNum>
  <w:abstractNum w:abstractNumId="1">
    <w:nsid w:val="1DD82AFF"/>
    <w:multiLevelType w:val="hybridMultilevel"/>
    <w:tmpl w:val="19C2A0B0"/>
    <w:lvl w:ilvl="0" w:tplc="0EBC90C6">
      <w:start w:val="3"/>
      <w:numFmt w:val="decimal"/>
      <w:lvlText w:val="%1."/>
      <w:lvlJc w:val="left"/>
      <w:pPr>
        <w:ind w:left="651" w:hanging="228"/>
        <w:jc w:val="left"/>
      </w:pPr>
      <w:rPr>
        <w:rFonts w:ascii="Times New Roman" w:eastAsia="Times New Roman" w:hAnsi="Times New Roman" w:cs="Times New Roman" w:hint="default"/>
        <w:w w:val="102"/>
        <w:sz w:val="22"/>
        <w:szCs w:val="22"/>
        <w:lang w:val="en-US" w:eastAsia="en-US" w:bidi="en-US"/>
      </w:rPr>
    </w:lvl>
    <w:lvl w:ilvl="1" w:tplc="A264446C">
      <w:numFmt w:val="bullet"/>
      <w:lvlText w:val="•"/>
      <w:lvlJc w:val="left"/>
      <w:pPr>
        <w:ind w:left="1486" w:hanging="228"/>
      </w:pPr>
      <w:rPr>
        <w:rFonts w:hint="default"/>
        <w:lang w:val="en-US" w:eastAsia="en-US" w:bidi="en-US"/>
      </w:rPr>
    </w:lvl>
    <w:lvl w:ilvl="2" w:tplc="3CE6CE60">
      <w:numFmt w:val="bullet"/>
      <w:lvlText w:val="•"/>
      <w:lvlJc w:val="left"/>
      <w:pPr>
        <w:ind w:left="2312" w:hanging="228"/>
      </w:pPr>
      <w:rPr>
        <w:rFonts w:hint="default"/>
        <w:lang w:val="en-US" w:eastAsia="en-US" w:bidi="en-US"/>
      </w:rPr>
    </w:lvl>
    <w:lvl w:ilvl="3" w:tplc="C3761D54">
      <w:numFmt w:val="bullet"/>
      <w:lvlText w:val="•"/>
      <w:lvlJc w:val="left"/>
      <w:pPr>
        <w:ind w:left="3138" w:hanging="228"/>
      </w:pPr>
      <w:rPr>
        <w:rFonts w:hint="default"/>
        <w:lang w:val="en-US" w:eastAsia="en-US" w:bidi="en-US"/>
      </w:rPr>
    </w:lvl>
    <w:lvl w:ilvl="4" w:tplc="731A1044">
      <w:numFmt w:val="bullet"/>
      <w:lvlText w:val="•"/>
      <w:lvlJc w:val="left"/>
      <w:pPr>
        <w:ind w:left="3964" w:hanging="228"/>
      </w:pPr>
      <w:rPr>
        <w:rFonts w:hint="default"/>
        <w:lang w:val="en-US" w:eastAsia="en-US" w:bidi="en-US"/>
      </w:rPr>
    </w:lvl>
    <w:lvl w:ilvl="5" w:tplc="4E0EBD5E">
      <w:numFmt w:val="bullet"/>
      <w:lvlText w:val="•"/>
      <w:lvlJc w:val="left"/>
      <w:pPr>
        <w:ind w:left="4790" w:hanging="228"/>
      </w:pPr>
      <w:rPr>
        <w:rFonts w:hint="default"/>
        <w:lang w:val="en-US" w:eastAsia="en-US" w:bidi="en-US"/>
      </w:rPr>
    </w:lvl>
    <w:lvl w:ilvl="6" w:tplc="38E6366A">
      <w:numFmt w:val="bullet"/>
      <w:lvlText w:val="•"/>
      <w:lvlJc w:val="left"/>
      <w:pPr>
        <w:ind w:left="5616" w:hanging="228"/>
      </w:pPr>
      <w:rPr>
        <w:rFonts w:hint="default"/>
        <w:lang w:val="en-US" w:eastAsia="en-US" w:bidi="en-US"/>
      </w:rPr>
    </w:lvl>
    <w:lvl w:ilvl="7" w:tplc="C9987550">
      <w:numFmt w:val="bullet"/>
      <w:lvlText w:val="•"/>
      <w:lvlJc w:val="left"/>
      <w:pPr>
        <w:ind w:left="6442" w:hanging="228"/>
      </w:pPr>
      <w:rPr>
        <w:rFonts w:hint="default"/>
        <w:lang w:val="en-US" w:eastAsia="en-US" w:bidi="en-US"/>
      </w:rPr>
    </w:lvl>
    <w:lvl w:ilvl="8" w:tplc="EC588F4E">
      <w:numFmt w:val="bullet"/>
      <w:lvlText w:val="•"/>
      <w:lvlJc w:val="left"/>
      <w:pPr>
        <w:ind w:left="7268" w:hanging="228"/>
      </w:pPr>
      <w:rPr>
        <w:rFonts w:hint="default"/>
        <w:lang w:val="en-US" w:eastAsia="en-US" w:bidi="en-US"/>
      </w:rPr>
    </w:lvl>
  </w:abstractNum>
  <w:abstractNum w:abstractNumId="2">
    <w:nsid w:val="34572CAC"/>
    <w:multiLevelType w:val="hybridMultilevel"/>
    <w:tmpl w:val="01FA10E6"/>
    <w:lvl w:ilvl="0" w:tplc="B3266950">
      <w:start w:val="1"/>
      <w:numFmt w:val="lowerLetter"/>
      <w:lvlText w:val="(%1)"/>
      <w:lvlJc w:val="left"/>
      <w:pPr>
        <w:ind w:left="339" w:hanging="339"/>
        <w:jc w:val="left"/>
      </w:pPr>
      <w:rPr>
        <w:rFonts w:ascii="Times New Roman" w:eastAsia="Times New Roman" w:hAnsi="Times New Roman" w:cs="Times New Roman" w:hint="default"/>
        <w:b/>
        <w:bCs/>
        <w:spacing w:val="-1"/>
        <w:w w:val="102"/>
        <w:sz w:val="22"/>
        <w:szCs w:val="22"/>
        <w:lang w:val="en-US" w:eastAsia="en-US" w:bidi="en-US"/>
      </w:rPr>
    </w:lvl>
    <w:lvl w:ilvl="1" w:tplc="AF8E7590">
      <w:numFmt w:val="bullet"/>
      <w:lvlText w:val="•"/>
      <w:lvlJc w:val="left"/>
      <w:pPr>
        <w:ind w:left="1576" w:hanging="339"/>
      </w:pPr>
      <w:rPr>
        <w:rFonts w:hint="default"/>
        <w:lang w:val="en-US" w:eastAsia="en-US" w:bidi="en-US"/>
      </w:rPr>
    </w:lvl>
    <w:lvl w:ilvl="2" w:tplc="83CC9C0A">
      <w:numFmt w:val="bullet"/>
      <w:lvlText w:val="•"/>
      <w:lvlJc w:val="left"/>
      <w:pPr>
        <w:ind w:left="2392" w:hanging="339"/>
      </w:pPr>
      <w:rPr>
        <w:rFonts w:hint="default"/>
        <w:lang w:val="en-US" w:eastAsia="en-US" w:bidi="en-US"/>
      </w:rPr>
    </w:lvl>
    <w:lvl w:ilvl="3" w:tplc="A3CE878A">
      <w:numFmt w:val="bullet"/>
      <w:lvlText w:val="•"/>
      <w:lvlJc w:val="left"/>
      <w:pPr>
        <w:ind w:left="3208" w:hanging="339"/>
      </w:pPr>
      <w:rPr>
        <w:rFonts w:hint="default"/>
        <w:lang w:val="en-US" w:eastAsia="en-US" w:bidi="en-US"/>
      </w:rPr>
    </w:lvl>
    <w:lvl w:ilvl="4" w:tplc="5AFE2424">
      <w:numFmt w:val="bullet"/>
      <w:lvlText w:val="•"/>
      <w:lvlJc w:val="left"/>
      <w:pPr>
        <w:ind w:left="4024" w:hanging="339"/>
      </w:pPr>
      <w:rPr>
        <w:rFonts w:hint="default"/>
        <w:lang w:val="en-US" w:eastAsia="en-US" w:bidi="en-US"/>
      </w:rPr>
    </w:lvl>
    <w:lvl w:ilvl="5" w:tplc="DD326124">
      <w:numFmt w:val="bullet"/>
      <w:lvlText w:val="•"/>
      <w:lvlJc w:val="left"/>
      <w:pPr>
        <w:ind w:left="4840" w:hanging="339"/>
      </w:pPr>
      <w:rPr>
        <w:rFonts w:hint="default"/>
        <w:lang w:val="en-US" w:eastAsia="en-US" w:bidi="en-US"/>
      </w:rPr>
    </w:lvl>
    <w:lvl w:ilvl="6" w:tplc="0868F93C">
      <w:numFmt w:val="bullet"/>
      <w:lvlText w:val="•"/>
      <w:lvlJc w:val="left"/>
      <w:pPr>
        <w:ind w:left="5656" w:hanging="339"/>
      </w:pPr>
      <w:rPr>
        <w:rFonts w:hint="default"/>
        <w:lang w:val="en-US" w:eastAsia="en-US" w:bidi="en-US"/>
      </w:rPr>
    </w:lvl>
    <w:lvl w:ilvl="7" w:tplc="1AB63C40">
      <w:numFmt w:val="bullet"/>
      <w:lvlText w:val="•"/>
      <w:lvlJc w:val="left"/>
      <w:pPr>
        <w:ind w:left="6472" w:hanging="339"/>
      </w:pPr>
      <w:rPr>
        <w:rFonts w:hint="default"/>
        <w:lang w:val="en-US" w:eastAsia="en-US" w:bidi="en-US"/>
      </w:rPr>
    </w:lvl>
    <w:lvl w:ilvl="8" w:tplc="B0FAF08C">
      <w:numFmt w:val="bullet"/>
      <w:lvlText w:val="•"/>
      <w:lvlJc w:val="left"/>
      <w:pPr>
        <w:ind w:left="7288" w:hanging="339"/>
      </w:pPr>
      <w:rPr>
        <w:rFonts w:hint="default"/>
        <w:lang w:val="en-US" w:eastAsia="en-US" w:bidi="en-US"/>
      </w:rPr>
    </w:lvl>
  </w:abstractNum>
  <w:abstractNum w:abstractNumId="3">
    <w:nsid w:val="4D045558"/>
    <w:multiLevelType w:val="hybridMultilevel"/>
    <w:tmpl w:val="AAEA51C8"/>
    <w:lvl w:ilvl="0" w:tplc="B81EE48E">
      <w:start w:val="1"/>
      <w:numFmt w:val="lowerLetter"/>
      <w:lvlText w:val="(%1)"/>
      <w:lvlJc w:val="left"/>
      <w:pPr>
        <w:ind w:left="742" w:hanging="320"/>
        <w:jc w:val="left"/>
      </w:pPr>
      <w:rPr>
        <w:rFonts w:ascii="Times New Roman" w:eastAsia="Times New Roman" w:hAnsi="Times New Roman" w:cs="Times New Roman" w:hint="default"/>
        <w:b/>
        <w:bCs/>
        <w:spacing w:val="-1"/>
        <w:w w:val="102"/>
        <w:sz w:val="22"/>
        <w:szCs w:val="22"/>
        <w:lang w:val="en-US" w:eastAsia="en-US" w:bidi="en-US"/>
      </w:rPr>
    </w:lvl>
    <w:lvl w:ilvl="1" w:tplc="DA406D88">
      <w:numFmt w:val="bullet"/>
      <w:lvlText w:val="•"/>
      <w:lvlJc w:val="left"/>
      <w:pPr>
        <w:ind w:left="1558" w:hanging="320"/>
      </w:pPr>
      <w:rPr>
        <w:rFonts w:hint="default"/>
        <w:lang w:val="en-US" w:eastAsia="en-US" w:bidi="en-US"/>
      </w:rPr>
    </w:lvl>
    <w:lvl w:ilvl="2" w:tplc="7C2E6F9A">
      <w:numFmt w:val="bullet"/>
      <w:lvlText w:val="•"/>
      <w:lvlJc w:val="left"/>
      <w:pPr>
        <w:ind w:left="2376" w:hanging="320"/>
      </w:pPr>
      <w:rPr>
        <w:rFonts w:hint="default"/>
        <w:lang w:val="en-US" w:eastAsia="en-US" w:bidi="en-US"/>
      </w:rPr>
    </w:lvl>
    <w:lvl w:ilvl="3" w:tplc="FBC424DE">
      <w:numFmt w:val="bullet"/>
      <w:lvlText w:val="•"/>
      <w:lvlJc w:val="left"/>
      <w:pPr>
        <w:ind w:left="3194" w:hanging="320"/>
      </w:pPr>
      <w:rPr>
        <w:rFonts w:hint="default"/>
        <w:lang w:val="en-US" w:eastAsia="en-US" w:bidi="en-US"/>
      </w:rPr>
    </w:lvl>
    <w:lvl w:ilvl="4" w:tplc="B310F8C8">
      <w:numFmt w:val="bullet"/>
      <w:lvlText w:val="•"/>
      <w:lvlJc w:val="left"/>
      <w:pPr>
        <w:ind w:left="4012" w:hanging="320"/>
      </w:pPr>
      <w:rPr>
        <w:rFonts w:hint="default"/>
        <w:lang w:val="en-US" w:eastAsia="en-US" w:bidi="en-US"/>
      </w:rPr>
    </w:lvl>
    <w:lvl w:ilvl="5" w:tplc="CD62C208">
      <w:numFmt w:val="bullet"/>
      <w:lvlText w:val="•"/>
      <w:lvlJc w:val="left"/>
      <w:pPr>
        <w:ind w:left="4830" w:hanging="320"/>
      </w:pPr>
      <w:rPr>
        <w:rFonts w:hint="default"/>
        <w:lang w:val="en-US" w:eastAsia="en-US" w:bidi="en-US"/>
      </w:rPr>
    </w:lvl>
    <w:lvl w:ilvl="6" w:tplc="4500889C">
      <w:numFmt w:val="bullet"/>
      <w:lvlText w:val="•"/>
      <w:lvlJc w:val="left"/>
      <w:pPr>
        <w:ind w:left="5648" w:hanging="320"/>
      </w:pPr>
      <w:rPr>
        <w:rFonts w:hint="default"/>
        <w:lang w:val="en-US" w:eastAsia="en-US" w:bidi="en-US"/>
      </w:rPr>
    </w:lvl>
    <w:lvl w:ilvl="7" w:tplc="66B6EE3E">
      <w:numFmt w:val="bullet"/>
      <w:lvlText w:val="•"/>
      <w:lvlJc w:val="left"/>
      <w:pPr>
        <w:ind w:left="6466" w:hanging="320"/>
      </w:pPr>
      <w:rPr>
        <w:rFonts w:hint="default"/>
        <w:lang w:val="en-US" w:eastAsia="en-US" w:bidi="en-US"/>
      </w:rPr>
    </w:lvl>
    <w:lvl w:ilvl="8" w:tplc="843EAEDA">
      <w:numFmt w:val="bullet"/>
      <w:lvlText w:val="•"/>
      <w:lvlJc w:val="left"/>
      <w:pPr>
        <w:ind w:left="7284" w:hanging="320"/>
      </w:pPr>
      <w:rPr>
        <w:rFonts w:hint="default"/>
        <w:lang w:val="en-US" w:eastAsia="en-US" w:bidi="en-US"/>
      </w:rPr>
    </w:lvl>
  </w:abstractNum>
  <w:abstractNum w:abstractNumId="4">
    <w:nsid w:val="554A3E86"/>
    <w:multiLevelType w:val="hybridMultilevel"/>
    <w:tmpl w:val="968E635E"/>
    <w:lvl w:ilvl="0" w:tplc="8B62BF52">
      <w:start w:val="1"/>
      <w:numFmt w:val="lowerLetter"/>
      <w:lvlText w:val="(%1)"/>
      <w:lvlJc w:val="left"/>
      <w:pPr>
        <w:ind w:left="1438" w:hanging="677"/>
        <w:jc w:val="left"/>
      </w:pPr>
      <w:rPr>
        <w:rFonts w:ascii="Times New Roman" w:eastAsia="Times New Roman" w:hAnsi="Times New Roman" w:cs="Times New Roman" w:hint="default"/>
        <w:spacing w:val="-1"/>
        <w:w w:val="102"/>
        <w:sz w:val="22"/>
        <w:szCs w:val="22"/>
        <w:lang w:val="en-US" w:eastAsia="en-US" w:bidi="en-US"/>
      </w:rPr>
    </w:lvl>
    <w:lvl w:ilvl="1" w:tplc="52DC3D04">
      <w:numFmt w:val="bullet"/>
      <w:lvlText w:val="•"/>
      <w:lvlJc w:val="left"/>
      <w:pPr>
        <w:ind w:left="2188" w:hanging="677"/>
      </w:pPr>
      <w:rPr>
        <w:rFonts w:hint="default"/>
        <w:lang w:val="en-US" w:eastAsia="en-US" w:bidi="en-US"/>
      </w:rPr>
    </w:lvl>
    <w:lvl w:ilvl="2" w:tplc="39746170">
      <w:numFmt w:val="bullet"/>
      <w:lvlText w:val="•"/>
      <w:lvlJc w:val="left"/>
      <w:pPr>
        <w:ind w:left="2936" w:hanging="677"/>
      </w:pPr>
      <w:rPr>
        <w:rFonts w:hint="default"/>
        <w:lang w:val="en-US" w:eastAsia="en-US" w:bidi="en-US"/>
      </w:rPr>
    </w:lvl>
    <w:lvl w:ilvl="3" w:tplc="7A58E89A">
      <w:numFmt w:val="bullet"/>
      <w:lvlText w:val="•"/>
      <w:lvlJc w:val="left"/>
      <w:pPr>
        <w:ind w:left="3684" w:hanging="677"/>
      </w:pPr>
      <w:rPr>
        <w:rFonts w:hint="default"/>
        <w:lang w:val="en-US" w:eastAsia="en-US" w:bidi="en-US"/>
      </w:rPr>
    </w:lvl>
    <w:lvl w:ilvl="4" w:tplc="16809292">
      <w:numFmt w:val="bullet"/>
      <w:lvlText w:val="•"/>
      <w:lvlJc w:val="left"/>
      <w:pPr>
        <w:ind w:left="4432" w:hanging="677"/>
      </w:pPr>
      <w:rPr>
        <w:rFonts w:hint="default"/>
        <w:lang w:val="en-US" w:eastAsia="en-US" w:bidi="en-US"/>
      </w:rPr>
    </w:lvl>
    <w:lvl w:ilvl="5" w:tplc="6E949422">
      <w:numFmt w:val="bullet"/>
      <w:lvlText w:val="•"/>
      <w:lvlJc w:val="left"/>
      <w:pPr>
        <w:ind w:left="5180" w:hanging="677"/>
      </w:pPr>
      <w:rPr>
        <w:rFonts w:hint="default"/>
        <w:lang w:val="en-US" w:eastAsia="en-US" w:bidi="en-US"/>
      </w:rPr>
    </w:lvl>
    <w:lvl w:ilvl="6" w:tplc="7AE64F74">
      <w:numFmt w:val="bullet"/>
      <w:lvlText w:val="•"/>
      <w:lvlJc w:val="left"/>
      <w:pPr>
        <w:ind w:left="5928" w:hanging="677"/>
      </w:pPr>
      <w:rPr>
        <w:rFonts w:hint="default"/>
        <w:lang w:val="en-US" w:eastAsia="en-US" w:bidi="en-US"/>
      </w:rPr>
    </w:lvl>
    <w:lvl w:ilvl="7" w:tplc="8D52F70A">
      <w:numFmt w:val="bullet"/>
      <w:lvlText w:val="•"/>
      <w:lvlJc w:val="left"/>
      <w:pPr>
        <w:ind w:left="6676" w:hanging="677"/>
      </w:pPr>
      <w:rPr>
        <w:rFonts w:hint="default"/>
        <w:lang w:val="en-US" w:eastAsia="en-US" w:bidi="en-US"/>
      </w:rPr>
    </w:lvl>
    <w:lvl w:ilvl="8" w:tplc="D9EE3842">
      <w:numFmt w:val="bullet"/>
      <w:lvlText w:val="•"/>
      <w:lvlJc w:val="left"/>
      <w:pPr>
        <w:ind w:left="7424" w:hanging="677"/>
      </w:pPr>
      <w:rPr>
        <w:rFonts w:hint="default"/>
        <w:lang w:val="en-US" w:eastAsia="en-US" w:bidi="en-US"/>
      </w:rPr>
    </w:lvl>
  </w:abstractNum>
  <w:abstractNum w:abstractNumId="5">
    <w:nsid w:val="5E6229F3"/>
    <w:multiLevelType w:val="hybridMultilevel"/>
    <w:tmpl w:val="0A76ADA6"/>
    <w:lvl w:ilvl="0" w:tplc="4002EADA">
      <w:start w:val="2"/>
      <w:numFmt w:val="decimal"/>
      <w:lvlText w:val="%1"/>
      <w:lvlJc w:val="left"/>
      <w:pPr>
        <w:ind w:left="874" w:hanging="452"/>
        <w:jc w:val="left"/>
      </w:pPr>
      <w:rPr>
        <w:rFonts w:hint="default"/>
        <w:lang w:val="en-US" w:eastAsia="en-US" w:bidi="en-US"/>
      </w:rPr>
    </w:lvl>
    <w:lvl w:ilvl="1" w:tplc="72A818FE">
      <w:numFmt w:val="none"/>
      <w:lvlText w:val=""/>
      <w:lvlJc w:val="left"/>
      <w:pPr>
        <w:tabs>
          <w:tab w:val="num" w:pos="360"/>
        </w:tabs>
      </w:pPr>
    </w:lvl>
    <w:lvl w:ilvl="2" w:tplc="42D8E768">
      <w:numFmt w:val="none"/>
      <w:lvlText w:val=""/>
      <w:lvlJc w:val="left"/>
      <w:pPr>
        <w:tabs>
          <w:tab w:val="num" w:pos="360"/>
        </w:tabs>
      </w:pPr>
    </w:lvl>
    <w:lvl w:ilvl="3" w:tplc="0C8824DE">
      <w:start w:val="1"/>
      <w:numFmt w:val="lowerLetter"/>
      <w:lvlText w:val="(%4)"/>
      <w:lvlJc w:val="left"/>
      <w:pPr>
        <w:ind w:left="1100" w:hanging="339"/>
        <w:jc w:val="left"/>
      </w:pPr>
      <w:rPr>
        <w:rFonts w:ascii="Times New Roman" w:eastAsia="Times New Roman" w:hAnsi="Times New Roman" w:cs="Times New Roman" w:hint="default"/>
        <w:spacing w:val="-1"/>
        <w:w w:val="102"/>
        <w:sz w:val="22"/>
        <w:szCs w:val="22"/>
        <w:lang w:val="en-US" w:eastAsia="en-US" w:bidi="en-US"/>
      </w:rPr>
    </w:lvl>
    <w:lvl w:ilvl="4" w:tplc="A50EA1D0">
      <w:numFmt w:val="bullet"/>
      <w:lvlText w:val="•"/>
      <w:lvlJc w:val="left"/>
      <w:pPr>
        <w:ind w:left="3055" w:hanging="339"/>
      </w:pPr>
      <w:rPr>
        <w:rFonts w:hint="default"/>
        <w:lang w:val="en-US" w:eastAsia="en-US" w:bidi="en-US"/>
      </w:rPr>
    </w:lvl>
    <w:lvl w:ilvl="5" w:tplc="445036DA">
      <w:numFmt w:val="bullet"/>
      <w:lvlText w:val="•"/>
      <w:lvlJc w:val="left"/>
      <w:pPr>
        <w:ind w:left="4032" w:hanging="339"/>
      </w:pPr>
      <w:rPr>
        <w:rFonts w:hint="default"/>
        <w:lang w:val="en-US" w:eastAsia="en-US" w:bidi="en-US"/>
      </w:rPr>
    </w:lvl>
    <w:lvl w:ilvl="6" w:tplc="94040634">
      <w:numFmt w:val="bullet"/>
      <w:lvlText w:val="•"/>
      <w:lvlJc w:val="left"/>
      <w:pPr>
        <w:ind w:left="5010" w:hanging="339"/>
      </w:pPr>
      <w:rPr>
        <w:rFonts w:hint="default"/>
        <w:lang w:val="en-US" w:eastAsia="en-US" w:bidi="en-US"/>
      </w:rPr>
    </w:lvl>
    <w:lvl w:ilvl="7" w:tplc="6DD604BC">
      <w:numFmt w:val="bullet"/>
      <w:lvlText w:val="•"/>
      <w:lvlJc w:val="left"/>
      <w:pPr>
        <w:ind w:left="5987" w:hanging="339"/>
      </w:pPr>
      <w:rPr>
        <w:rFonts w:hint="default"/>
        <w:lang w:val="en-US" w:eastAsia="en-US" w:bidi="en-US"/>
      </w:rPr>
    </w:lvl>
    <w:lvl w:ilvl="8" w:tplc="11CAB38A">
      <w:numFmt w:val="bullet"/>
      <w:lvlText w:val="•"/>
      <w:lvlJc w:val="left"/>
      <w:pPr>
        <w:ind w:left="6965" w:hanging="339"/>
      </w:pPr>
      <w:rPr>
        <w:rFonts w:hint="default"/>
        <w:lang w:val="en-US" w:eastAsia="en-US" w:bidi="en-US"/>
      </w:rPr>
    </w:lvl>
  </w:abstractNum>
  <w:abstractNum w:abstractNumId="6">
    <w:nsid w:val="772F0D13"/>
    <w:multiLevelType w:val="hybridMultilevel"/>
    <w:tmpl w:val="65CEEF20"/>
    <w:lvl w:ilvl="0" w:tplc="5FACE288">
      <w:start w:val="2"/>
      <w:numFmt w:val="decimal"/>
      <w:lvlText w:val="%1"/>
      <w:lvlJc w:val="left"/>
      <w:pPr>
        <w:ind w:left="761" w:hanging="339"/>
        <w:jc w:val="left"/>
      </w:pPr>
      <w:rPr>
        <w:rFonts w:hint="default"/>
        <w:lang w:val="en-US" w:eastAsia="en-US" w:bidi="en-US"/>
      </w:rPr>
    </w:lvl>
    <w:lvl w:ilvl="1" w:tplc="1F9E4596">
      <w:numFmt w:val="none"/>
      <w:lvlText w:val=""/>
      <w:lvlJc w:val="left"/>
      <w:pPr>
        <w:tabs>
          <w:tab w:val="num" w:pos="360"/>
        </w:tabs>
      </w:pPr>
    </w:lvl>
    <w:lvl w:ilvl="2" w:tplc="DD4A1C92">
      <w:numFmt w:val="bullet"/>
      <w:lvlText w:val="•"/>
      <w:lvlJc w:val="left"/>
      <w:pPr>
        <w:ind w:left="2392" w:hanging="339"/>
      </w:pPr>
      <w:rPr>
        <w:rFonts w:hint="default"/>
        <w:lang w:val="en-US" w:eastAsia="en-US" w:bidi="en-US"/>
      </w:rPr>
    </w:lvl>
    <w:lvl w:ilvl="3" w:tplc="943676D4">
      <w:numFmt w:val="bullet"/>
      <w:lvlText w:val="•"/>
      <w:lvlJc w:val="left"/>
      <w:pPr>
        <w:ind w:left="3208" w:hanging="339"/>
      </w:pPr>
      <w:rPr>
        <w:rFonts w:hint="default"/>
        <w:lang w:val="en-US" w:eastAsia="en-US" w:bidi="en-US"/>
      </w:rPr>
    </w:lvl>
    <w:lvl w:ilvl="4" w:tplc="4732B370">
      <w:numFmt w:val="bullet"/>
      <w:lvlText w:val="•"/>
      <w:lvlJc w:val="left"/>
      <w:pPr>
        <w:ind w:left="4024" w:hanging="339"/>
      </w:pPr>
      <w:rPr>
        <w:rFonts w:hint="default"/>
        <w:lang w:val="en-US" w:eastAsia="en-US" w:bidi="en-US"/>
      </w:rPr>
    </w:lvl>
    <w:lvl w:ilvl="5" w:tplc="85881BB6">
      <w:numFmt w:val="bullet"/>
      <w:lvlText w:val="•"/>
      <w:lvlJc w:val="left"/>
      <w:pPr>
        <w:ind w:left="4840" w:hanging="339"/>
      </w:pPr>
      <w:rPr>
        <w:rFonts w:hint="default"/>
        <w:lang w:val="en-US" w:eastAsia="en-US" w:bidi="en-US"/>
      </w:rPr>
    </w:lvl>
    <w:lvl w:ilvl="6" w:tplc="94FCEFE6">
      <w:numFmt w:val="bullet"/>
      <w:lvlText w:val="•"/>
      <w:lvlJc w:val="left"/>
      <w:pPr>
        <w:ind w:left="5656" w:hanging="339"/>
      </w:pPr>
      <w:rPr>
        <w:rFonts w:hint="default"/>
        <w:lang w:val="en-US" w:eastAsia="en-US" w:bidi="en-US"/>
      </w:rPr>
    </w:lvl>
    <w:lvl w:ilvl="7" w:tplc="FE0CD3B6">
      <w:numFmt w:val="bullet"/>
      <w:lvlText w:val="•"/>
      <w:lvlJc w:val="left"/>
      <w:pPr>
        <w:ind w:left="6472" w:hanging="339"/>
      </w:pPr>
      <w:rPr>
        <w:rFonts w:hint="default"/>
        <w:lang w:val="en-US" w:eastAsia="en-US" w:bidi="en-US"/>
      </w:rPr>
    </w:lvl>
    <w:lvl w:ilvl="8" w:tplc="706094B0">
      <w:numFmt w:val="bullet"/>
      <w:lvlText w:val="•"/>
      <w:lvlJc w:val="left"/>
      <w:pPr>
        <w:ind w:left="7288" w:hanging="339"/>
      </w:pPr>
      <w:rPr>
        <w:rFonts w:hint="default"/>
        <w:lang w:val="en-US" w:eastAsia="en-US" w:bidi="en-US"/>
      </w:rPr>
    </w:lvl>
  </w:abstractNum>
  <w:num w:numId="1">
    <w:abstractNumId w:val="1"/>
  </w:num>
  <w:num w:numId="2">
    <w:abstractNumId w:val="0"/>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10242"/>
  </w:hdrShapeDefaults>
  <w:footnotePr>
    <w:footnote w:id="0"/>
    <w:footnote w:id="1"/>
  </w:footnotePr>
  <w:endnotePr>
    <w:endnote w:id="0"/>
    <w:endnote w:id="1"/>
  </w:endnotePr>
  <w:compat>
    <w:ulTrailSpace/>
    <w:shapeLayoutLikeWW8/>
  </w:compat>
  <w:rsids>
    <w:rsidRoot w:val="00D2338F"/>
    <w:rsid w:val="000463FD"/>
    <w:rsid w:val="000C5414"/>
    <w:rsid w:val="000C6B92"/>
    <w:rsid w:val="00796AF8"/>
    <w:rsid w:val="007F77CF"/>
    <w:rsid w:val="00B004C8"/>
    <w:rsid w:val="00B520B5"/>
    <w:rsid w:val="00B8538A"/>
    <w:rsid w:val="00BC091B"/>
    <w:rsid w:val="00D2338F"/>
    <w:rsid w:val="00DF6D23"/>
    <w:rsid w:val="00F81F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2338F"/>
    <w:rPr>
      <w:rFonts w:ascii="Times New Roman" w:eastAsia="Times New Roman" w:hAnsi="Times New Roman" w:cs="Times New Roman"/>
      <w:lang w:bidi="en-US"/>
    </w:rPr>
  </w:style>
  <w:style w:type="paragraph" w:styleId="Heading1">
    <w:name w:val="heading 1"/>
    <w:basedOn w:val="Normal"/>
    <w:uiPriority w:val="1"/>
    <w:qFormat/>
    <w:rsid w:val="00D2338F"/>
    <w:pPr>
      <w:ind w:left="874" w:hanging="452"/>
      <w:outlineLvl w:val="0"/>
    </w:pPr>
    <w:rPr>
      <w:b/>
      <w:bCs/>
      <w:i/>
      <w:sz w:val="30"/>
      <w:szCs w:val="30"/>
    </w:rPr>
  </w:style>
  <w:style w:type="paragraph" w:styleId="Heading2">
    <w:name w:val="heading 2"/>
    <w:basedOn w:val="Normal"/>
    <w:uiPriority w:val="1"/>
    <w:qFormat/>
    <w:rsid w:val="00D2338F"/>
    <w:pPr>
      <w:ind w:left="975" w:hanging="553"/>
      <w:outlineLvl w:val="1"/>
    </w:pPr>
    <w:rPr>
      <w:b/>
      <w:bCs/>
      <w:sz w:val="24"/>
      <w:szCs w:val="24"/>
    </w:rPr>
  </w:style>
  <w:style w:type="paragraph" w:styleId="Heading3">
    <w:name w:val="heading 3"/>
    <w:basedOn w:val="Normal"/>
    <w:uiPriority w:val="1"/>
    <w:qFormat/>
    <w:rsid w:val="00D2338F"/>
    <w:pPr>
      <w:ind w:left="42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2338F"/>
  </w:style>
  <w:style w:type="paragraph" w:styleId="ListParagraph">
    <w:name w:val="List Paragraph"/>
    <w:basedOn w:val="Normal"/>
    <w:uiPriority w:val="1"/>
    <w:qFormat/>
    <w:rsid w:val="00D2338F"/>
    <w:pPr>
      <w:ind w:left="761" w:hanging="339"/>
    </w:pPr>
  </w:style>
  <w:style w:type="paragraph" w:customStyle="1" w:styleId="TableParagraph">
    <w:name w:val="Table Paragraph"/>
    <w:basedOn w:val="Normal"/>
    <w:uiPriority w:val="1"/>
    <w:qFormat/>
    <w:rsid w:val="00D2338F"/>
  </w:style>
  <w:style w:type="paragraph" w:styleId="Header">
    <w:name w:val="header"/>
    <w:basedOn w:val="Normal"/>
    <w:link w:val="HeaderChar"/>
    <w:uiPriority w:val="99"/>
    <w:semiHidden/>
    <w:unhideWhenUsed/>
    <w:rsid w:val="00BC091B"/>
    <w:pPr>
      <w:tabs>
        <w:tab w:val="center" w:pos="4680"/>
        <w:tab w:val="right" w:pos="9360"/>
      </w:tabs>
    </w:pPr>
  </w:style>
  <w:style w:type="character" w:customStyle="1" w:styleId="HeaderChar">
    <w:name w:val="Header Char"/>
    <w:basedOn w:val="DefaultParagraphFont"/>
    <w:link w:val="Header"/>
    <w:uiPriority w:val="99"/>
    <w:semiHidden/>
    <w:rsid w:val="00BC091B"/>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BC091B"/>
    <w:pPr>
      <w:tabs>
        <w:tab w:val="center" w:pos="4680"/>
        <w:tab w:val="right" w:pos="9360"/>
      </w:tabs>
    </w:pPr>
  </w:style>
  <w:style w:type="character" w:customStyle="1" w:styleId="FooterChar">
    <w:name w:val="Footer Char"/>
    <w:basedOn w:val="DefaultParagraphFont"/>
    <w:link w:val="Footer"/>
    <w:uiPriority w:val="99"/>
    <w:semiHidden/>
    <w:rsid w:val="00BC091B"/>
    <w:rPr>
      <w:rFonts w:ascii="Times New Roman" w:eastAsia="Times New Roman" w:hAnsi="Times New Roman" w:cs="Times New Roman"/>
      <w:lang w:bidi="en-US"/>
    </w:rPr>
  </w:style>
  <w:style w:type="paragraph" w:customStyle="1" w:styleId="Default">
    <w:name w:val="Default"/>
    <w:rsid w:val="00DF6D23"/>
    <w:pPr>
      <w:widowControl/>
      <w:adjustRightInd w:val="0"/>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DF6D23"/>
    <w:rPr>
      <w:rFonts w:ascii="Tahoma" w:hAnsi="Tahoma" w:cs="Tahoma"/>
      <w:sz w:val="16"/>
      <w:szCs w:val="16"/>
    </w:rPr>
  </w:style>
  <w:style w:type="character" w:customStyle="1" w:styleId="BalloonTextChar">
    <w:name w:val="Balloon Text Char"/>
    <w:basedOn w:val="DefaultParagraphFont"/>
    <w:link w:val="BalloonText"/>
    <w:uiPriority w:val="99"/>
    <w:semiHidden/>
    <w:rsid w:val="00DF6D23"/>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875</Words>
  <Characters>4991</Characters>
  <Application>Microsoft Office Word</Application>
  <DocSecurity>0</DocSecurity>
  <Lines>41</Lines>
  <Paragraphs>11</Paragraphs>
  <ScaleCrop>false</ScaleCrop>
  <Company/>
  <LinksUpToDate>false</LinksUpToDate>
  <CharactersWithSpaces>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dc:creator>
  <cp:lastModifiedBy>Ashu</cp:lastModifiedBy>
  <cp:revision>5</cp:revision>
  <dcterms:created xsi:type="dcterms:W3CDTF">2020-09-27T01:44:00Z</dcterms:created>
  <dcterms:modified xsi:type="dcterms:W3CDTF">2020-09-27T02:51:00Z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2020-09-26T00:00:00Z</vt:filetime>
  </property>
  <property fmtid="{D5CDD505-2E9C-101B-9397-08002B2CF9AE}" pid="3" name="LastSaved">
    <vt:filetime>2020-09-27T00:00:00Z</vt:filetime>
  </property>
</Properties>
</file>